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5D5" w:rsidRDefault="0061000D">
      <w:pPr>
        <w:suppressAutoHyphens w:val="0"/>
        <w:autoSpaceDN/>
        <w:spacing w:line="480" w:lineRule="auto"/>
        <w:jc w:val="center"/>
        <w:textAlignment w:val="auto"/>
        <w:rPr>
          <w:rFonts w:ascii="黑体" w:eastAsia="黑体" w:hAnsi="宋体"/>
          <w:kern w:val="2"/>
          <w:sz w:val="30"/>
          <w:szCs w:val="30"/>
        </w:rPr>
      </w:pPr>
      <w:r>
        <w:rPr>
          <w:rFonts w:ascii="黑体" w:eastAsia="黑体" w:hAnsi="宋体" w:hint="eastAsia"/>
          <w:kern w:val="2"/>
          <w:sz w:val="30"/>
          <w:szCs w:val="30"/>
        </w:rPr>
        <w:t>突发公共事件信息公开检讨：</w:t>
      </w:r>
      <w:r>
        <w:rPr>
          <w:rFonts w:ascii="黑体" w:eastAsia="黑体" w:hAnsi="宋体" w:hint="eastAsia"/>
          <w:kern w:val="2"/>
          <w:sz w:val="30"/>
          <w:szCs w:val="30"/>
        </w:rPr>
        <w:t>义务主体、公开范围与责任体系</w:t>
      </w:r>
      <w:r>
        <w:rPr>
          <w:rStyle w:val="ad"/>
          <w:rFonts w:ascii="黑体" w:eastAsia="黑体" w:hAnsi="宋体" w:hint="eastAsia"/>
          <w:kern w:val="2"/>
          <w:sz w:val="30"/>
          <w:szCs w:val="30"/>
        </w:rPr>
        <w:footnoteReference w:customMarkFollows="1" w:id="1"/>
        <w:t>※</w:t>
      </w:r>
    </w:p>
    <w:p w:rsidR="00B365D5" w:rsidRDefault="0061000D">
      <w:pPr>
        <w:adjustRightInd w:val="0"/>
        <w:snapToGrid w:val="0"/>
        <w:spacing w:line="500" w:lineRule="exact"/>
        <w:jc w:val="center"/>
        <w:outlineLvl w:val="0"/>
        <w:rPr>
          <w:rFonts w:ascii="楷体" w:eastAsia="楷体" w:hAnsi="楷体" w:cs="楷体"/>
          <w:color w:val="000000"/>
          <w:sz w:val="28"/>
          <w:szCs w:val="28"/>
        </w:rPr>
      </w:pPr>
      <w:r>
        <w:rPr>
          <w:rFonts w:ascii="楷体" w:eastAsia="楷体" w:hAnsi="楷体" w:cs="楷体" w:hint="eastAsia"/>
          <w:color w:val="000000"/>
          <w:sz w:val="28"/>
          <w:szCs w:val="28"/>
        </w:rPr>
        <w:t>彭辉，杨力</w:t>
      </w:r>
    </w:p>
    <w:p w:rsidR="00B365D5" w:rsidRDefault="0061000D">
      <w:pPr>
        <w:adjustRightInd w:val="0"/>
        <w:snapToGrid w:val="0"/>
        <w:spacing w:line="500" w:lineRule="exact"/>
        <w:outlineLvl w:val="0"/>
        <w:rPr>
          <w:rFonts w:ascii="黑体" w:eastAsia="黑体" w:hAnsi="黑体" w:cs="黑体"/>
          <w:sz w:val="28"/>
          <w:szCs w:val="28"/>
          <w:highlight w:val="yellow"/>
          <w:lang w:bidi="ar"/>
        </w:rPr>
      </w:pPr>
      <w:r>
        <w:rPr>
          <w:rFonts w:ascii="黑体" w:eastAsia="黑体" w:hAnsi="黑体" w:cs="黑体" w:hint="eastAsia"/>
          <w:sz w:val="28"/>
          <w:szCs w:val="28"/>
          <w:lang w:bidi="ar"/>
        </w:rPr>
        <w:t>摘要</w:t>
      </w:r>
      <w:r>
        <w:rPr>
          <w:rFonts w:ascii="楷体" w:eastAsia="楷体" w:hAnsi="楷体" w:cs="楷体" w:hint="eastAsia"/>
          <w:color w:val="000000"/>
          <w:sz w:val="28"/>
          <w:szCs w:val="28"/>
        </w:rPr>
        <w:t>：疫情防控越是到最吃劲的时候，越要坚持依法防控。建议明确国家卫生行政部门、省一级政府或授权的省级卫生行政部门共同列为突发事件的疫情公布义务人，明确传染病或突发事件中疾控机构作为监测主体，建议重大疫情政府信息公开以具有“直接使用价值”为导向及时公布政府信息和支撑信息形成的政府数据，鼓励疫情信息披露“吹哨人”保护条款，通过加强研究国内外信披的主要类型和样本对标、完善信息公开结构性要素与衡量标准、发挥督查式信披问责“儆戒效应”、发挥纪法衔接信息公开问责兜底、释放结构性信息公开行政问责容错空间等构建结构化行政问责体</w:t>
      </w:r>
      <w:r>
        <w:rPr>
          <w:rFonts w:ascii="楷体" w:eastAsia="楷体" w:hAnsi="楷体" w:cs="楷体" w:hint="eastAsia"/>
          <w:color w:val="000000"/>
          <w:sz w:val="28"/>
          <w:szCs w:val="28"/>
        </w:rPr>
        <w:t>系保障信息公开平稳有序。</w:t>
      </w:r>
    </w:p>
    <w:p w:rsidR="00B365D5" w:rsidRDefault="0061000D">
      <w:pPr>
        <w:adjustRightInd w:val="0"/>
        <w:snapToGrid w:val="0"/>
        <w:spacing w:line="500" w:lineRule="exact"/>
        <w:outlineLvl w:val="0"/>
        <w:rPr>
          <w:rFonts w:ascii="楷体" w:eastAsia="楷体" w:hAnsi="楷体" w:cs="楷体"/>
          <w:color w:val="000000"/>
          <w:sz w:val="28"/>
          <w:szCs w:val="28"/>
        </w:rPr>
      </w:pPr>
      <w:r>
        <w:rPr>
          <w:rFonts w:ascii="黑体" w:eastAsia="黑体" w:hAnsi="黑体" w:cs="黑体" w:hint="eastAsia"/>
          <w:sz w:val="28"/>
          <w:szCs w:val="28"/>
          <w:lang w:bidi="ar"/>
        </w:rPr>
        <w:t>关键词</w:t>
      </w:r>
      <w:r>
        <w:rPr>
          <w:rFonts w:ascii="楷体" w:eastAsia="楷体" w:hAnsi="楷体" w:cs="楷体" w:hint="eastAsia"/>
          <w:color w:val="000000"/>
          <w:sz w:val="28"/>
          <w:szCs w:val="28"/>
        </w:rPr>
        <w:t>：新冠肺炎疫情；</w:t>
      </w:r>
      <w:r>
        <w:rPr>
          <w:rFonts w:ascii="楷体" w:eastAsia="楷体" w:hAnsi="楷体" w:cs="楷体" w:hint="eastAsia"/>
          <w:color w:val="000000"/>
          <w:sz w:val="28"/>
          <w:szCs w:val="28"/>
        </w:rPr>
        <w:t>信息披露</w:t>
      </w:r>
      <w:r>
        <w:rPr>
          <w:rFonts w:ascii="楷体" w:eastAsia="楷体" w:hAnsi="楷体" w:cs="楷体" w:hint="eastAsia"/>
          <w:color w:val="000000"/>
          <w:sz w:val="28"/>
          <w:szCs w:val="28"/>
        </w:rPr>
        <w:t>；</w:t>
      </w:r>
      <w:r>
        <w:rPr>
          <w:rFonts w:ascii="楷体" w:eastAsia="楷体" w:hAnsi="楷体" w:cs="楷体" w:hint="eastAsia"/>
          <w:color w:val="000000"/>
          <w:sz w:val="28"/>
          <w:szCs w:val="28"/>
        </w:rPr>
        <w:t>行政问责</w:t>
      </w:r>
      <w:r>
        <w:rPr>
          <w:rFonts w:ascii="楷体" w:eastAsia="楷体" w:hAnsi="楷体" w:cs="楷体" w:hint="eastAsia"/>
          <w:color w:val="000000"/>
          <w:sz w:val="28"/>
          <w:szCs w:val="28"/>
        </w:rPr>
        <w:t>；</w:t>
      </w:r>
      <w:r>
        <w:rPr>
          <w:rFonts w:ascii="楷体" w:eastAsia="楷体" w:hAnsi="楷体" w:cs="楷体" w:hint="eastAsia"/>
          <w:color w:val="000000"/>
          <w:sz w:val="28"/>
          <w:szCs w:val="28"/>
        </w:rPr>
        <w:t>大数据；</w:t>
      </w:r>
      <w:r>
        <w:rPr>
          <w:rFonts w:ascii="楷体" w:eastAsia="楷体" w:hAnsi="楷体" w:cs="楷体" w:hint="eastAsia"/>
          <w:color w:val="000000"/>
          <w:sz w:val="28"/>
          <w:szCs w:val="28"/>
        </w:rPr>
        <w:t>责任义务</w:t>
      </w:r>
    </w:p>
    <w:p w:rsidR="00B365D5" w:rsidRDefault="00B365D5">
      <w:pPr>
        <w:adjustRightInd w:val="0"/>
        <w:snapToGrid w:val="0"/>
        <w:spacing w:line="500" w:lineRule="exact"/>
        <w:ind w:firstLineChars="200" w:firstLine="560"/>
        <w:outlineLvl w:val="0"/>
        <w:rPr>
          <w:rFonts w:ascii="楷体" w:eastAsia="楷体" w:hAnsi="楷体" w:cs="楷体"/>
          <w:sz w:val="28"/>
          <w:szCs w:val="28"/>
          <w:lang w:bidi="ar"/>
        </w:rPr>
      </w:pP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一、问题的提出</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新冠肺炎疫情，是新中国成立以来，传播速度最快、感染范围最广、防控难度最大的重大突发公共卫生事件。与</w:t>
      </w:r>
      <w:r>
        <w:rPr>
          <w:rFonts w:ascii="楷体" w:eastAsia="楷体" w:hAnsi="楷体" w:cs="楷体" w:hint="eastAsia"/>
          <w:sz w:val="28"/>
          <w:szCs w:val="28"/>
          <w:lang w:bidi="ar"/>
        </w:rPr>
        <w:t>17</w:t>
      </w:r>
      <w:r>
        <w:rPr>
          <w:rFonts w:ascii="楷体" w:eastAsia="楷体" w:hAnsi="楷体" w:cs="楷体" w:hint="eastAsia"/>
          <w:sz w:val="28"/>
          <w:szCs w:val="28"/>
          <w:lang w:bidi="ar"/>
        </w:rPr>
        <w:t>年前</w:t>
      </w:r>
      <w:r>
        <w:rPr>
          <w:rFonts w:ascii="楷体" w:eastAsia="楷体" w:hAnsi="楷体" w:cs="楷体" w:hint="eastAsia"/>
          <w:sz w:val="28"/>
          <w:szCs w:val="28"/>
          <w:lang w:bidi="ar"/>
        </w:rPr>
        <w:t>SARS</w:t>
      </w:r>
      <w:r>
        <w:rPr>
          <w:rFonts w:ascii="楷体" w:eastAsia="楷体" w:hAnsi="楷体" w:cs="楷体" w:hint="eastAsia"/>
          <w:sz w:val="28"/>
          <w:szCs w:val="28"/>
          <w:lang w:bidi="ar"/>
        </w:rPr>
        <w:t>事件相比，两者在规模和影响方面不可同日而语。一是从涉及地域来看，非典事件尚有琼贵滇藏青疆六地幸免，新冠肺炎全国各省皆有涉及；二是从病例来看，全国共确诊非典病例</w:t>
      </w:r>
      <w:r>
        <w:rPr>
          <w:rFonts w:ascii="楷体" w:eastAsia="楷体" w:hAnsi="楷体" w:cs="楷体" w:hint="eastAsia"/>
          <w:sz w:val="28"/>
          <w:szCs w:val="28"/>
          <w:lang w:bidi="ar"/>
        </w:rPr>
        <w:t>5327</w:t>
      </w:r>
      <w:r>
        <w:rPr>
          <w:rFonts w:ascii="楷体" w:eastAsia="楷体" w:hAnsi="楷体" w:cs="楷体" w:hint="eastAsia"/>
          <w:sz w:val="28"/>
          <w:szCs w:val="28"/>
          <w:lang w:bidi="ar"/>
        </w:rPr>
        <w:t>例，死亡</w:t>
      </w:r>
      <w:r>
        <w:rPr>
          <w:rFonts w:ascii="楷体" w:eastAsia="楷体" w:hAnsi="楷体" w:cs="楷体" w:hint="eastAsia"/>
          <w:sz w:val="28"/>
          <w:szCs w:val="28"/>
          <w:lang w:bidi="ar"/>
        </w:rPr>
        <w:t>349</w:t>
      </w:r>
      <w:r>
        <w:rPr>
          <w:rFonts w:ascii="楷体" w:eastAsia="楷体" w:hAnsi="楷体" w:cs="楷体" w:hint="eastAsia"/>
          <w:sz w:val="28"/>
          <w:szCs w:val="28"/>
          <w:lang w:bidi="ar"/>
        </w:rPr>
        <w:t>人，新冠肺炎病例</w:t>
      </w:r>
      <w:r>
        <w:rPr>
          <w:rFonts w:ascii="楷体" w:eastAsia="楷体" w:hAnsi="楷体" w:cs="楷体" w:hint="eastAsia"/>
          <w:sz w:val="28"/>
          <w:szCs w:val="28"/>
          <w:lang w:bidi="ar"/>
        </w:rPr>
        <w:t>81961</w:t>
      </w:r>
      <w:r>
        <w:rPr>
          <w:rFonts w:ascii="楷体" w:eastAsia="楷体" w:hAnsi="楷体" w:cs="楷体" w:hint="eastAsia"/>
          <w:sz w:val="28"/>
          <w:szCs w:val="28"/>
          <w:lang w:bidi="ar"/>
        </w:rPr>
        <w:t>例，死亡</w:t>
      </w:r>
      <w:r>
        <w:rPr>
          <w:rFonts w:ascii="楷体" w:eastAsia="楷体" w:hAnsi="楷体" w:cs="楷体" w:hint="eastAsia"/>
          <w:sz w:val="28"/>
          <w:szCs w:val="28"/>
          <w:lang w:bidi="ar"/>
        </w:rPr>
        <w:t>3293</w:t>
      </w:r>
      <w:r>
        <w:rPr>
          <w:rFonts w:ascii="楷体" w:eastAsia="楷体" w:hAnsi="楷体" w:cs="楷体" w:hint="eastAsia"/>
          <w:sz w:val="28"/>
          <w:szCs w:val="28"/>
          <w:lang w:bidi="ar"/>
        </w:rPr>
        <w:t>人（截止到</w:t>
      </w:r>
      <w:r>
        <w:rPr>
          <w:rFonts w:ascii="楷体" w:eastAsia="楷体" w:hAnsi="楷体" w:cs="楷体" w:hint="eastAsia"/>
          <w:sz w:val="28"/>
          <w:szCs w:val="28"/>
          <w:lang w:bidi="ar"/>
        </w:rPr>
        <w:t>2020</w:t>
      </w:r>
      <w:r>
        <w:rPr>
          <w:rFonts w:ascii="楷体" w:eastAsia="楷体" w:hAnsi="楷体" w:cs="楷体" w:hint="eastAsia"/>
          <w:sz w:val="28"/>
          <w:szCs w:val="28"/>
          <w:lang w:bidi="ar"/>
        </w:rPr>
        <w:t>年</w:t>
      </w:r>
      <w:r>
        <w:rPr>
          <w:rFonts w:ascii="楷体" w:eastAsia="楷体" w:hAnsi="楷体" w:cs="楷体" w:hint="eastAsia"/>
          <w:sz w:val="28"/>
          <w:szCs w:val="28"/>
          <w:lang w:bidi="ar"/>
        </w:rPr>
        <w:t>3</w:t>
      </w:r>
      <w:r>
        <w:rPr>
          <w:rFonts w:ascii="楷体" w:eastAsia="楷体" w:hAnsi="楷体" w:cs="楷体" w:hint="eastAsia"/>
          <w:sz w:val="28"/>
          <w:szCs w:val="28"/>
          <w:lang w:bidi="ar"/>
        </w:rPr>
        <w:t>月</w:t>
      </w:r>
      <w:r>
        <w:rPr>
          <w:rFonts w:ascii="楷体" w:eastAsia="楷体" w:hAnsi="楷体" w:cs="楷体" w:hint="eastAsia"/>
          <w:sz w:val="28"/>
          <w:szCs w:val="28"/>
          <w:lang w:bidi="ar"/>
        </w:rPr>
        <w:t>26</w:t>
      </w:r>
      <w:r>
        <w:rPr>
          <w:rFonts w:ascii="楷体" w:eastAsia="楷体" w:hAnsi="楷体" w:cs="楷体" w:hint="eastAsia"/>
          <w:sz w:val="28"/>
          <w:szCs w:val="28"/>
          <w:lang w:bidi="ar"/>
        </w:rPr>
        <w:t>日统计）；三是从经济总量来看，</w:t>
      </w:r>
      <w:r>
        <w:rPr>
          <w:rFonts w:ascii="楷体" w:eastAsia="楷体" w:hAnsi="楷体" w:cs="楷体" w:hint="eastAsia"/>
          <w:sz w:val="28"/>
          <w:szCs w:val="28"/>
          <w:lang w:bidi="ar"/>
        </w:rPr>
        <w:t>2003</w:t>
      </w:r>
      <w:r>
        <w:rPr>
          <w:rFonts w:ascii="楷体" w:eastAsia="楷体" w:hAnsi="楷体" w:cs="楷体" w:hint="eastAsia"/>
          <w:sz w:val="28"/>
          <w:szCs w:val="28"/>
          <w:lang w:bidi="ar"/>
        </w:rPr>
        <w:t>年的全国</w:t>
      </w:r>
      <w:r>
        <w:rPr>
          <w:rFonts w:ascii="楷体" w:eastAsia="楷体" w:hAnsi="楷体" w:cs="楷体" w:hint="eastAsia"/>
          <w:sz w:val="28"/>
          <w:szCs w:val="28"/>
          <w:lang w:bidi="ar"/>
        </w:rPr>
        <w:t>GDP</w:t>
      </w:r>
      <w:r>
        <w:rPr>
          <w:rFonts w:ascii="楷体" w:eastAsia="楷体" w:hAnsi="楷体" w:cs="楷体" w:hint="eastAsia"/>
          <w:sz w:val="28"/>
          <w:szCs w:val="28"/>
          <w:lang w:bidi="ar"/>
        </w:rPr>
        <w:t>为</w:t>
      </w:r>
      <w:r>
        <w:rPr>
          <w:rFonts w:ascii="楷体" w:eastAsia="楷体" w:hAnsi="楷体" w:cs="楷体" w:hint="eastAsia"/>
          <w:sz w:val="28"/>
          <w:szCs w:val="28"/>
          <w:lang w:bidi="ar"/>
        </w:rPr>
        <w:t>13.7</w:t>
      </w:r>
      <w:r>
        <w:rPr>
          <w:rFonts w:ascii="楷体" w:eastAsia="楷体" w:hAnsi="楷体" w:cs="楷体" w:hint="eastAsia"/>
          <w:sz w:val="28"/>
          <w:szCs w:val="28"/>
          <w:lang w:bidi="ar"/>
        </w:rPr>
        <w:t>万亿元，</w:t>
      </w:r>
      <w:r>
        <w:rPr>
          <w:rFonts w:ascii="楷体" w:eastAsia="楷体" w:hAnsi="楷体" w:cs="楷体" w:hint="eastAsia"/>
          <w:sz w:val="28"/>
          <w:szCs w:val="28"/>
          <w:lang w:bidi="ar"/>
        </w:rPr>
        <w:t>2019</w:t>
      </w:r>
      <w:r>
        <w:rPr>
          <w:rFonts w:ascii="楷体" w:eastAsia="楷体" w:hAnsi="楷体" w:cs="楷体" w:hint="eastAsia"/>
          <w:sz w:val="28"/>
          <w:szCs w:val="28"/>
          <w:lang w:bidi="ar"/>
        </w:rPr>
        <w:t>年</w:t>
      </w:r>
      <w:r>
        <w:rPr>
          <w:rFonts w:ascii="楷体" w:eastAsia="楷体" w:hAnsi="楷体" w:cs="楷体" w:hint="eastAsia"/>
          <w:sz w:val="28"/>
          <w:szCs w:val="28"/>
          <w:lang w:bidi="ar"/>
        </w:rPr>
        <w:t>GDP</w:t>
      </w:r>
      <w:r>
        <w:rPr>
          <w:rFonts w:ascii="楷体" w:eastAsia="楷体" w:hAnsi="楷体" w:cs="楷体" w:hint="eastAsia"/>
          <w:sz w:val="28"/>
          <w:szCs w:val="28"/>
          <w:lang w:bidi="ar"/>
        </w:rPr>
        <w:t>接近</w:t>
      </w:r>
      <w:r>
        <w:rPr>
          <w:rFonts w:ascii="楷体" w:eastAsia="楷体" w:hAnsi="楷体" w:cs="楷体" w:hint="eastAsia"/>
          <w:sz w:val="28"/>
          <w:szCs w:val="28"/>
          <w:lang w:bidi="ar"/>
        </w:rPr>
        <w:t>100</w:t>
      </w:r>
      <w:r>
        <w:rPr>
          <w:rFonts w:ascii="楷体" w:eastAsia="楷体" w:hAnsi="楷体" w:cs="楷体" w:hint="eastAsia"/>
          <w:sz w:val="28"/>
          <w:szCs w:val="28"/>
          <w:lang w:bidi="ar"/>
        </w:rPr>
        <w:t>万亿，本次疫情对中国经济社会发展的影响远甚当时；四是</w:t>
      </w:r>
      <w:r>
        <w:rPr>
          <w:rFonts w:ascii="楷体" w:eastAsia="楷体" w:hAnsi="楷体" w:cs="楷体" w:hint="eastAsia"/>
          <w:sz w:val="28"/>
          <w:szCs w:val="28"/>
          <w:lang w:bidi="ar"/>
        </w:rPr>
        <w:t>移动互联发达程度来看，</w:t>
      </w:r>
      <w:r>
        <w:rPr>
          <w:rFonts w:ascii="楷体" w:eastAsia="楷体" w:hAnsi="楷体" w:cs="楷体" w:hint="eastAsia"/>
          <w:sz w:val="28"/>
          <w:szCs w:val="28"/>
          <w:lang w:bidi="ar"/>
        </w:rPr>
        <w:t>2003</w:t>
      </w:r>
      <w:r>
        <w:rPr>
          <w:rFonts w:ascii="楷体" w:eastAsia="楷体" w:hAnsi="楷体" w:cs="楷体" w:hint="eastAsia"/>
          <w:sz w:val="28"/>
          <w:szCs w:val="28"/>
          <w:lang w:bidi="ar"/>
        </w:rPr>
        <w:t>年非典时期互联网推广程度尚不发达，政府对信息的封闭式控制或选择性公开依然可以有效运作，疫情舆情基本上维持在局部、线下、传统媒体层面上，而本次疫情引发的舆情的渗透力</w:t>
      </w:r>
      <w:r>
        <w:rPr>
          <w:rFonts w:ascii="楷体" w:eastAsia="楷体" w:hAnsi="楷体" w:cs="楷体" w:hint="eastAsia"/>
          <w:sz w:val="28"/>
          <w:szCs w:val="28"/>
          <w:lang w:bidi="ar"/>
        </w:rPr>
        <w:lastRenderedPageBreak/>
        <w:t>和影响力方面都十分</w:t>
      </w:r>
      <w:r>
        <w:rPr>
          <w:rFonts w:ascii="楷体" w:eastAsia="楷体" w:hAnsi="楷体" w:cs="楷体" w:hint="eastAsia"/>
          <w:sz w:val="28"/>
          <w:szCs w:val="28"/>
          <w:lang w:bidi="ar"/>
        </w:rPr>
        <w:t>突出</w:t>
      </w:r>
      <w:r>
        <w:rPr>
          <w:rFonts w:ascii="楷体" w:eastAsia="楷体" w:hAnsi="楷体" w:cs="楷体" w:hint="eastAsia"/>
          <w:sz w:val="28"/>
          <w:szCs w:val="28"/>
          <w:lang w:bidi="ar"/>
        </w:rPr>
        <w:t>。</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面对这场没有硝烟的战争，更是一场输不起的战争，从中央到地方，从政府到社区，从国家到个人，全国各条战线都充分动员起来投入到了防疫治疫之中。中共中央政治局常务委员会</w:t>
      </w:r>
      <w:r>
        <w:rPr>
          <w:rFonts w:ascii="楷体" w:eastAsia="楷体" w:hAnsi="楷体" w:cs="楷体" w:hint="eastAsia"/>
          <w:sz w:val="28"/>
          <w:szCs w:val="28"/>
          <w:lang w:bidi="ar"/>
        </w:rPr>
        <w:t>2</w:t>
      </w:r>
      <w:r>
        <w:rPr>
          <w:rFonts w:ascii="楷体" w:eastAsia="楷体" w:hAnsi="楷体" w:cs="楷体" w:hint="eastAsia"/>
          <w:sz w:val="28"/>
          <w:szCs w:val="28"/>
          <w:lang w:bidi="ar"/>
        </w:rPr>
        <w:t>月</w:t>
      </w:r>
      <w:r>
        <w:rPr>
          <w:rFonts w:ascii="楷体" w:eastAsia="楷体" w:hAnsi="楷体" w:cs="楷体" w:hint="eastAsia"/>
          <w:sz w:val="28"/>
          <w:szCs w:val="28"/>
          <w:lang w:bidi="ar"/>
        </w:rPr>
        <w:t>3</w:t>
      </w:r>
      <w:r>
        <w:rPr>
          <w:rFonts w:ascii="楷体" w:eastAsia="楷体" w:hAnsi="楷体" w:cs="楷体" w:hint="eastAsia"/>
          <w:sz w:val="28"/>
          <w:szCs w:val="28"/>
          <w:lang w:bidi="ar"/>
        </w:rPr>
        <w:t>日召开会议，会议强调这次疫情是对我国治理体系和能力的一次大考。</w:t>
      </w:r>
      <w:r>
        <w:rPr>
          <w:rFonts w:ascii="楷体" w:eastAsia="楷体" w:hAnsi="楷体" w:cs="楷体" w:hint="eastAsia"/>
          <w:sz w:val="28"/>
          <w:szCs w:val="28"/>
          <w:lang w:bidi="ar"/>
        </w:rPr>
        <w:t>2</w:t>
      </w:r>
      <w:r>
        <w:rPr>
          <w:rFonts w:ascii="楷体" w:eastAsia="楷体" w:hAnsi="楷体" w:cs="楷体" w:hint="eastAsia"/>
          <w:sz w:val="28"/>
          <w:szCs w:val="28"/>
          <w:lang w:bidi="ar"/>
        </w:rPr>
        <w:t>月</w:t>
      </w:r>
      <w:r>
        <w:rPr>
          <w:rFonts w:ascii="楷体" w:eastAsia="楷体" w:hAnsi="楷体" w:cs="楷体" w:hint="eastAsia"/>
          <w:sz w:val="28"/>
          <w:szCs w:val="28"/>
          <w:lang w:bidi="ar"/>
        </w:rPr>
        <w:t>5</w:t>
      </w:r>
      <w:r>
        <w:rPr>
          <w:rFonts w:ascii="楷体" w:eastAsia="楷体" w:hAnsi="楷体" w:cs="楷体" w:hint="eastAsia"/>
          <w:sz w:val="28"/>
          <w:szCs w:val="28"/>
          <w:lang w:bidi="ar"/>
        </w:rPr>
        <w:t>日，习总书记主持召开中央全国依法治国委员会第三次指出，要完善</w:t>
      </w:r>
      <w:r>
        <w:rPr>
          <w:rFonts w:ascii="楷体" w:eastAsia="楷体" w:hAnsi="楷体" w:cs="楷体" w:hint="eastAsia"/>
          <w:sz w:val="28"/>
          <w:szCs w:val="28"/>
          <w:lang w:bidi="ar"/>
        </w:rPr>
        <w:t>疫情防控相关立法，加强配套制度建设。</w:t>
      </w:r>
      <w:r>
        <w:rPr>
          <w:rFonts w:ascii="楷体" w:eastAsia="楷体" w:hAnsi="楷体" w:cs="楷体" w:hint="eastAsia"/>
          <w:sz w:val="28"/>
          <w:szCs w:val="28"/>
          <w:lang w:bidi="ar"/>
        </w:rPr>
        <w:t>《</w:t>
      </w:r>
      <w:r>
        <w:rPr>
          <w:rFonts w:ascii="楷体" w:eastAsia="楷体" w:hAnsi="楷体" w:cs="楷体" w:hint="eastAsia"/>
          <w:sz w:val="28"/>
          <w:szCs w:val="28"/>
          <w:lang w:bidi="ar"/>
        </w:rPr>
        <w:t>突发事件应对法</w:t>
      </w:r>
      <w:r>
        <w:rPr>
          <w:rFonts w:ascii="楷体" w:eastAsia="楷体" w:hAnsi="楷体" w:cs="楷体" w:hint="eastAsia"/>
          <w:sz w:val="28"/>
          <w:szCs w:val="28"/>
          <w:lang w:bidi="ar"/>
        </w:rPr>
        <w:t>》（以下简称《</w:t>
      </w:r>
      <w:r>
        <w:rPr>
          <w:rFonts w:ascii="楷体" w:eastAsia="楷体" w:hAnsi="楷体" w:cs="楷体" w:hint="eastAsia"/>
          <w:sz w:val="28"/>
          <w:szCs w:val="28"/>
          <w:lang w:bidi="ar"/>
        </w:rPr>
        <w:t>应对法</w:t>
      </w:r>
      <w:r>
        <w:rPr>
          <w:rFonts w:ascii="楷体" w:eastAsia="楷体" w:hAnsi="楷体" w:cs="楷体" w:hint="eastAsia"/>
          <w:sz w:val="28"/>
          <w:szCs w:val="28"/>
          <w:lang w:bidi="ar"/>
        </w:rPr>
        <w:t>》）、</w:t>
      </w:r>
      <w:r>
        <w:rPr>
          <w:rFonts w:ascii="楷体" w:eastAsia="楷体" w:hAnsi="楷体" w:cs="楷体" w:hint="eastAsia"/>
          <w:sz w:val="28"/>
          <w:szCs w:val="28"/>
          <w:lang w:bidi="ar"/>
        </w:rPr>
        <w:t>《传染病防治法》（以下简称</w:t>
      </w:r>
      <w:r>
        <w:rPr>
          <w:rFonts w:ascii="楷体" w:eastAsia="楷体" w:hAnsi="楷体" w:cs="楷体" w:hint="eastAsia"/>
          <w:sz w:val="28"/>
          <w:szCs w:val="28"/>
          <w:lang w:bidi="ar"/>
        </w:rPr>
        <w:t>《</w:t>
      </w:r>
      <w:r>
        <w:rPr>
          <w:rFonts w:ascii="楷体" w:eastAsia="楷体" w:hAnsi="楷体" w:cs="楷体" w:hint="eastAsia"/>
          <w:sz w:val="28"/>
          <w:szCs w:val="28"/>
          <w:lang w:bidi="ar"/>
        </w:rPr>
        <w:t>防治法</w:t>
      </w:r>
      <w:r>
        <w:rPr>
          <w:rFonts w:ascii="楷体" w:eastAsia="楷体" w:hAnsi="楷体" w:cs="楷体" w:hint="eastAsia"/>
          <w:sz w:val="28"/>
          <w:szCs w:val="28"/>
          <w:lang w:bidi="ar"/>
        </w:rPr>
        <w:t>》</w:t>
      </w:r>
      <w:r>
        <w:rPr>
          <w:rFonts w:ascii="楷体" w:eastAsia="楷体" w:hAnsi="楷体" w:cs="楷体" w:hint="eastAsia"/>
          <w:sz w:val="28"/>
          <w:szCs w:val="28"/>
          <w:lang w:bidi="ar"/>
        </w:rPr>
        <w:t>）、《突发公共卫生事件应急条例》（以下简称《应急条例》）、《政府信息公开条例》（以下简称</w:t>
      </w:r>
      <w:r>
        <w:rPr>
          <w:rFonts w:ascii="楷体" w:eastAsia="楷体" w:hAnsi="楷体" w:cs="楷体" w:hint="eastAsia"/>
          <w:sz w:val="28"/>
          <w:szCs w:val="28"/>
          <w:lang w:bidi="ar"/>
        </w:rPr>
        <w:t>《</w:t>
      </w:r>
      <w:r>
        <w:rPr>
          <w:rFonts w:ascii="楷体" w:eastAsia="楷体" w:hAnsi="楷体" w:cs="楷体" w:hint="eastAsia"/>
          <w:sz w:val="28"/>
          <w:szCs w:val="28"/>
          <w:lang w:bidi="ar"/>
        </w:rPr>
        <w:t>公开条例</w:t>
      </w:r>
      <w:r>
        <w:rPr>
          <w:rFonts w:ascii="楷体" w:eastAsia="楷体" w:hAnsi="楷体" w:cs="楷体" w:hint="eastAsia"/>
          <w:sz w:val="28"/>
          <w:szCs w:val="28"/>
          <w:lang w:bidi="ar"/>
        </w:rPr>
        <w:t>》</w:t>
      </w:r>
      <w:r>
        <w:rPr>
          <w:rFonts w:ascii="楷体" w:eastAsia="楷体" w:hAnsi="楷体" w:cs="楷体" w:hint="eastAsia"/>
          <w:sz w:val="28"/>
          <w:szCs w:val="28"/>
          <w:lang w:bidi="ar"/>
        </w:rPr>
        <w:t>）虽然在疫情信息披露的机制上有了一些准据法意义上的明确规定，然而，此次疫情从首批肺疫病例发生、疑似病例增长和扩散、有关机构的调查研究、疫情的集中爆发，整个过程的预警性信息、事实性信息、结论性事实是否得到及时、充分和完整的披露，仍然产生了较大争议。比如</w:t>
      </w:r>
      <w:r>
        <w:rPr>
          <w:rFonts w:ascii="楷体" w:eastAsia="楷体" w:hAnsi="楷体" w:cs="楷体" w:hint="eastAsia"/>
          <w:sz w:val="28"/>
          <w:szCs w:val="28"/>
          <w:lang w:bidi="ar"/>
        </w:rPr>
        <w:t>，</w:t>
      </w:r>
      <w:r>
        <w:rPr>
          <w:rFonts w:ascii="楷体" w:eastAsia="楷体" w:hAnsi="楷体" w:cs="楷体" w:hint="eastAsia"/>
          <w:sz w:val="28"/>
          <w:szCs w:val="28"/>
          <w:lang w:bidi="ar"/>
        </w:rPr>
        <w:t>对确诊病例的密切接触者或可疑暴露者的医学观察信</w:t>
      </w:r>
      <w:r>
        <w:rPr>
          <w:rFonts w:ascii="楷体" w:eastAsia="楷体" w:hAnsi="楷体" w:cs="楷体" w:hint="eastAsia"/>
          <w:sz w:val="28"/>
          <w:szCs w:val="28"/>
          <w:lang w:bidi="ar"/>
        </w:rPr>
        <w:t>息；涉疫医疗、应急和捐赠物资的定期公布信息；疫情期间经营者的不正当价格执法信息；医疗就诊床位、住院流程和药品供应的诊疗信息等，相当程度上损害了政府公信力，也影响到疫情的及时应对。</w:t>
      </w:r>
      <w:r>
        <w:rPr>
          <w:rFonts w:ascii="楷体" w:eastAsia="楷体" w:hAnsi="楷体" w:cs="楷体" w:hint="eastAsia"/>
          <w:sz w:val="28"/>
          <w:szCs w:val="28"/>
          <w:lang w:bidi="ar"/>
        </w:rPr>
        <w:t>对此，有必要从厘清信息公开主体、构建科学行政问责保障信息公开、信息公开合理范围界定及其激励机制等维度加以分析。</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二、信息公开义务主体分担界定</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1.</w:t>
      </w:r>
      <w:r>
        <w:rPr>
          <w:rFonts w:ascii="楷体" w:eastAsia="楷体" w:hAnsi="楷体" w:cs="楷体" w:hint="eastAsia"/>
          <w:b/>
          <w:bCs/>
          <w:sz w:val="28"/>
          <w:szCs w:val="28"/>
          <w:lang w:bidi="ar"/>
        </w:rPr>
        <w:t>“新型”疫情公布的义务人规定</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根据《防治法》第</w:t>
      </w:r>
      <w:r>
        <w:rPr>
          <w:rFonts w:ascii="楷体" w:eastAsia="楷体" w:hAnsi="楷体" w:cs="楷体" w:hint="eastAsia"/>
          <w:sz w:val="28"/>
          <w:szCs w:val="28"/>
          <w:lang w:bidi="ar"/>
        </w:rPr>
        <w:t>4</w:t>
      </w:r>
      <w:r>
        <w:rPr>
          <w:rFonts w:ascii="楷体" w:eastAsia="楷体" w:hAnsi="楷体" w:cs="楷体" w:hint="eastAsia"/>
          <w:sz w:val="28"/>
          <w:szCs w:val="28"/>
          <w:lang w:bidi="ar"/>
        </w:rPr>
        <w:t>条规定，国家卫生行政部门或省一级政府有权公布乙类以上疫情；同时，《应急条例》第</w:t>
      </w:r>
      <w:r>
        <w:rPr>
          <w:rFonts w:ascii="楷体" w:eastAsia="楷体" w:hAnsi="楷体" w:cs="楷体" w:hint="eastAsia"/>
          <w:sz w:val="28"/>
          <w:szCs w:val="28"/>
          <w:lang w:bidi="ar"/>
        </w:rPr>
        <w:t>25</w:t>
      </w:r>
      <w:r>
        <w:rPr>
          <w:rFonts w:ascii="楷体" w:eastAsia="楷体" w:hAnsi="楷体" w:cs="楷体" w:hint="eastAsia"/>
          <w:sz w:val="28"/>
          <w:szCs w:val="28"/>
          <w:lang w:bidi="ar"/>
        </w:rPr>
        <w:t>条规定，突发事件中的国家卫生行政部门，以及必要时可以“授权”省级卫生行政部门公布疫情。此次疫情延误公布的关键在于，“新型”冠肺不在原来法定的乙类以上疫情之列，而是属于条例所称的“突发事件”，即突然发</w:t>
      </w:r>
      <w:r>
        <w:rPr>
          <w:rFonts w:ascii="楷体" w:eastAsia="楷体" w:hAnsi="楷体" w:cs="楷体" w:hint="eastAsia"/>
          <w:sz w:val="28"/>
          <w:szCs w:val="28"/>
          <w:lang w:bidi="ar"/>
        </w:rPr>
        <w:lastRenderedPageBreak/>
        <w:t>生、造成或者可能造成社会公众健康严重损害的重大传染病、群体性不明原因的疫情。</w:t>
      </w:r>
      <w:r>
        <w:rPr>
          <w:rFonts w:ascii="楷体" w:eastAsia="楷体" w:hAnsi="楷体" w:cs="楷体" w:hint="eastAsia"/>
          <w:sz w:val="28"/>
          <w:szCs w:val="28"/>
          <w:lang w:bidi="ar"/>
        </w:rPr>
        <w:t>省一级政府有接到报告后向国家卫生行政部门立即报告的法定义务，由国家卫生行政部门或授权省级卫生行政部门公布。这导致在未被定下类别之前</w:t>
      </w:r>
      <w:r>
        <w:rPr>
          <w:rFonts w:ascii="楷体" w:eastAsia="楷体" w:hAnsi="楷体" w:cs="楷体" w:hint="eastAsia"/>
          <w:sz w:val="28"/>
          <w:szCs w:val="28"/>
          <w:lang w:bidi="ar"/>
        </w:rPr>
        <w:t>，省一级政府职责被置于一边，不利于属地管理的优势释放。</w:t>
      </w:r>
    </w:p>
    <w:p w:rsidR="00B365D5" w:rsidRDefault="0061000D">
      <w:pPr>
        <w:adjustRightInd w:val="0"/>
        <w:snapToGrid w:val="0"/>
        <w:spacing w:line="500" w:lineRule="exact"/>
        <w:ind w:firstLineChars="200" w:firstLine="560"/>
        <w:outlineLvl w:val="0"/>
        <w:rPr>
          <w:rFonts w:ascii="楷体" w:eastAsia="楷体" w:hAnsi="楷体" w:cs="楷体"/>
          <w:color w:val="000000"/>
          <w:sz w:val="28"/>
          <w:szCs w:val="28"/>
        </w:rPr>
      </w:pPr>
      <w:r>
        <w:rPr>
          <w:rFonts w:ascii="楷体" w:eastAsia="楷体" w:hAnsi="楷体" w:cs="楷体" w:hint="eastAsia"/>
          <w:color w:val="000000"/>
          <w:sz w:val="28"/>
          <w:szCs w:val="28"/>
        </w:rPr>
        <w:t>武汉地方政府始终强调己方已尽力，对于疫情在眼皮底下发展到如此规模是秉持“内疚、愧疚、自责的心态”，但始终未承认瞒报。</w:t>
      </w:r>
      <w:r>
        <w:rPr>
          <w:rFonts w:ascii="楷体" w:eastAsia="楷体" w:hAnsi="楷体" w:cs="楷体"/>
          <w:color w:val="000000"/>
          <w:sz w:val="28"/>
          <w:szCs w:val="28"/>
        </w:rPr>
        <w:t>如</w:t>
      </w:r>
      <w:r>
        <w:rPr>
          <w:rFonts w:eastAsia="楷体"/>
          <w:color w:val="000000"/>
          <w:sz w:val="28"/>
          <w:szCs w:val="28"/>
        </w:rPr>
        <w:t>1</w:t>
      </w:r>
      <w:r>
        <w:rPr>
          <w:rFonts w:eastAsia="楷体"/>
          <w:color w:val="000000"/>
          <w:sz w:val="28"/>
          <w:szCs w:val="28"/>
        </w:rPr>
        <w:t>月</w:t>
      </w:r>
      <w:r>
        <w:rPr>
          <w:rFonts w:eastAsia="楷体"/>
          <w:color w:val="000000"/>
          <w:sz w:val="28"/>
          <w:szCs w:val="28"/>
        </w:rPr>
        <w:t>27</w:t>
      </w:r>
      <w:r>
        <w:rPr>
          <w:rFonts w:eastAsia="楷体" w:hint="eastAsia"/>
          <w:color w:val="000000"/>
          <w:sz w:val="28"/>
          <w:szCs w:val="28"/>
        </w:rPr>
        <w:t>日</w:t>
      </w:r>
      <w:r>
        <w:rPr>
          <w:rFonts w:ascii="楷体" w:eastAsia="楷体" w:hAnsi="楷体" w:cs="楷体" w:hint="eastAsia"/>
          <w:color w:val="000000"/>
          <w:sz w:val="28"/>
          <w:szCs w:val="28"/>
        </w:rPr>
        <w:t>，武汉市长周先旺接受央视采访时认为，我上报卫生行政部门了，但没权披露。原话是，“披露不及时，这一点大家要理解，因为它是传染病……必须依法披露，作为地方政府，……，授权以后我才能披露”，这段表述实质是将“责任”甩给了其他部门。</w:t>
      </w:r>
      <w:r>
        <w:rPr>
          <w:rFonts w:eastAsia="楷体" w:hint="eastAsia"/>
          <w:color w:val="000000"/>
          <w:sz w:val="28"/>
          <w:szCs w:val="28"/>
        </w:rPr>
        <w:t>1</w:t>
      </w:r>
      <w:r>
        <w:rPr>
          <w:rFonts w:eastAsia="楷体" w:hint="eastAsia"/>
          <w:color w:val="000000"/>
          <w:sz w:val="28"/>
          <w:szCs w:val="28"/>
        </w:rPr>
        <w:t>月</w:t>
      </w:r>
      <w:r>
        <w:rPr>
          <w:rFonts w:eastAsia="楷体" w:hint="eastAsia"/>
          <w:color w:val="000000"/>
          <w:sz w:val="28"/>
          <w:szCs w:val="28"/>
        </w:rPr>
        <w:t>31</w:t>
      </w:r>
      <w:r>
        <w:rPr>
          <w:rFonts w:ascii="楷体" w:eastAsia="楷体" w:hAnsi="楷体" w:cs="楷体" w:hint="eastAsia"/>
          <w:color w:val="000000"/>
          <w:sz w:val="28"/>
          <w:szCs w:val="28"/>
        </w:rPr>
        <w:t>日，武汉市原市委书记马国强接受央视采访时，承认采取管控措施晚了，不等于证实存在瞒报。</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color w:val="000000"/>
          <w:sz w:val="28"/>
          <w:szCs w:val="28"/>
        </w:rPr>
        <w:t>我们发现，</w:t>
      </w:r>
      <w:r>
        <w:rPr>
          <w:rFonts w:ascii="楷体" w:eastAsia="楷体" w:hAnsi="楷体" w:cs="楷体" w:hint="eastAsia"/>
          <w:color w:val="000000"/>
          <w:sz w:val="28"/>
          <w:szCs w:val="28"/>
        </w:rPr>
        <w:t>在</w:t>
      </w:r>
      <w:r>
        <w:rPr>
          <w:rFonts w:ascii="楷体" w:eastAsia="楷体" w:hAnsi="楷体" w:cs="楷体" w:hint="eastAsia"/>
          <w:color w:val="000000"/>
          <w:sz w:val="28"/>
          <w:szCs w:val="28"/>
        </w:rPr>
        <w:t>武汉地方政府</w:t>
      </w:r>
      <w:r>
        <w:rPr>
          <w:rFonts w:ascii="楷体" w:eastAsia="楷体" w:hAnsi="楷体" w:cs="楷体" w:hint="eastAsia"/>
          <w:color w:val="000000"/>
          <w:sz w:val="28"/>
          <w:szCs w:val="28"/>
        </w:rPr>
        <w:t>和</w:t>
      </w:r>
      <w:r>
        <w:rPr>
          <w:rFonts w:ascii="楷体" w:eastAsia="楷体" w:hAnsi="楷体" w:cs="楷体" w:hint="eastAsia"/>
          <w:color w:val="000000"/>
          <w:sz w:val="28"/>
          <w:szCs w:val="28"/>
        </w:rPr>
        <w:t>卫生行政部门</w:t>
      </w:r>
      <w:r>
        <w:rPr>
          <w:rFonts w:ascii="楷体" w:eastAsia="楷体" w:hAnsi="楷体" w:cs="楷体" w:hint="eastAsia"/>
          <w:color w:val="000000"/>
          <w:sz w:val="28"/>
          <w:szCs w:val="28"/>
        </w:rPr>
        <w:t>过招期间，</w:t>
      </w:r>
      <w:r>
        <w:rPr>
          <w:rFonts w:ascii="楷体" w:eastAsia="楷体" w:hAnsi="楷体" w:cs="楷体" w:hint="eastAsia"/>
          <w:sz w:val="28"/>
          <w:szCs w:val="28"/>
          <w:lang w:bidi="ar"/>
        </w:rPr>
        <w:t>省一级政府</w:t>
      </w:r>
      <w:r>
        <w:rPr>
          <w:rFonts w:ascii="楷体" w:eastAsia="楷体" w:hAnsi="楷体" w:cs="楷体" w:hint="eastAsia"/>
          <w:sz w:val="28"/>
          <w:szCs w:val="28"/>
          <w:lang w:bidi="ar"/>
        </w:rPr>
        <w:t>并不见其身影。</w:t>
      </w:r>
      <w:r>
        <w:rPr>
          <w:rFonts w:ascii="楷体" w:eastAsia="楷体" w:hAnsi="楷体" w:cs="楷体" w:hint="eastAsia"/>
          <w:sz w:val="28"/>
          <w:szCs w:val="28"/>
          <w:lang w:bidi="ar"/>
        </w:rPr>
        <w:t>《防治法》</w:t>
      </w:r>
      <w:r>
        <w:rPr>
          <w:rFonts w:ascii="楷体" w:eastAsia="楷体" w:hAnsi="楷体" w:cs="楷体" w:hint="eastAsia"/>
          <w:sz w:val="28"/>
          <w:szCs w:val="28"/>
          <w:lang w:bidi="ar"/>
        </w:rPr>
        <w:t>和</w:t>
      </w:r>
      <w:r>
        <w:rPr>
          <w:rFonts w:ascii="楷体" w:eastAsia="楷体" w:hAnsi="楷体" w:cs="楷体" w:hint="eastAsia"/>
          <w:sz w:val="28"/>
          <w:szCs w:val="28"/>
          <w:lang w:bidi="ar"/>
        </w:rPr>
        <w:t>《应急条例》</w:t>
      </w:r>
      <w:r>
        <w:rPr>
          <w:rFonts w:ascii="楷体" w:eastAsia="楷体" w:hAnsi="楷体" w:cs="楷体" w:hint="eastAsia"/>
          <w:sz w:val="28"/>
          <w:szCs w:val="28"/>
          <w:lang w:bidi="ar"/>
        </w:rPr>
        <w:t>强调的重点是</w:t>
      </w:r>
      <w:r>
        <w:rPr>
          <w:rFonts w:ascii="楷体" w:eastAsia="楷体" w:hAnsi="楷体" w:cs="楷体" w:hint="eastAsia"/>
          <w:color w:val="000000"/>
          <w:sz w:val="28"/>
          <w:szCs w:val="28"/>
        </w:rPr>
        <w:t>卫生行政部门信息公开</w:t>
      </w:r>
      <w:r>
        <w:rPr>
          <w:rFonts w:ascii="楷体" w:eastAsia="楷体" w:hAnsi="楷体" w:cs="楷体" w:hint="eastAsia"/>
          <w:color w:val="000000"/>
          <w:sz w:val="28"/>
          <w:szCs w:val="28"/>
        </w:rPr>
        <w:t>的主体责任。而</w:t>
      </w:r>
      <w:r>
        <w:rPr>
          <w:rFonts w:ascii="楷体" w:eastAsia="楷体" w:hAnsi="楷体" w:cs="楷体" w:hint="eastAsia"/>
          <w:sz w:val="28"/>
          <w:szCs w:val="28"/>
          <w:lang w:bidi="ar"/>
        </w:rPr>
        <w:t>《</w:t>
      </w:r>
      <w:r>
        <w:rPr>
          <w:rFonts w:ascii="楷体" w:eastAsia="楷体" w:hAnsi="楷体" w:cs="楷体" w:hint="eastAsia"/>
          <w:sz w:val="28"/>
          <w:szCs w:val="28"/>
          <w:lang w:bidi="ar"/>
        </w:rPr>
        <w:t>应对法</w:t>
      </w:r>
      <w:r>
        <w:rPr>
          <w:rFonts w:ascii="楷体" w:eastAsia="楷体" w:hAnsi="楷体" w:cs="楷体" w:hint="eastAsia"/>
          <w:sz w:val="28"/>
          <w:szCs w:val="28"/>
          <w:lang w:bidi="ar"/>
        </w:rPr>
        <w:t>》非常突出的一点是：确立了“属地管理”原则，即将应急职责明确在属地政府身上，并相应地将突发事件信息披露和应对权限也放置在属地政府。</w:t>
      </w:r>
      <w:r>
        <w:rPr>
          <w:rFonts w:ascii="楷体" w:eastAsia="楷体" w:hAnsi="楷体" w:cs="楷体" w:hint="eastAsia"/>
          <w:sz w:val="28"/>
          <w:szCs w:val="28"/>
          <w:lang w:bidi="ar"/>
        </w:rPr>
        <w:t>这一理念是从多次的应急事件，尤其是</w:t>
      </w:r>
      <w:r>
        <w:rPr>
          <w:rFonts w:ascii="楷体" w:eastAsia="楷体" w:hAnsi="楷体" w:cs="楷体" w:hint="eastAsia"/>
          <w:sz w:val="28"/>
          <w:szCs w:val="28"/>
          <w:lang w:bidi="ar"/>
        </w:rPr>
        <w:t>2003</w:t>
      </w:r>
      <w:r>
        <w:rPr>
          <w:rFonts w:ascii="楷体" w:eastAsia="楷体" w:hAnsi="楷体" w:cs="楷体" w:hint="eastAsia"/>
          <w:sz w:val="28"/>
          <w:szCs w:val="28"/>
          <w:lang w:bidi="ar"/>
        </w:rPr>
        <w:t>年的“非典”疫情的血泪教训中得出的宝贵经验。《</w:t>
      </w:r>
      <w:r>
        <w:rPr>
          <w:rFonts w:ascii="楷体" w:eastAsia="楷体" w:hAnsi="楷体" w:cs="楷体" w:hint="eastAsia"/>
          <w:sz w:val="28"/>
          <w:szCs w:val="28"/>
          <w:lang w:bidi="ar"/>
        </w:rPr>
        <w:t>应对法</w:t>
      </w:r>
      <w:r>
        <w:rPr>
          <w:rFonts w:ascii="楷体" w:eastAsia="楷体" w:hAnsi="楷体" w:cs="楷体" w:hint="eastAsia"/>
          <w:sz w:val="28"/>
          <w:szCs w:val="28"/>
          <w:lang w:bidi="ar"/>
        </w:rPr>
        <w:t>》第</w:t>
      </w:r>
      <w:r>
        <w:rPr>
          <w:rFonts w:ascii="楷体" w:eastAsia="楷体" w:hAnsi="楷体" w:cs="楷体" w:hint="eastAsia"/>
          <w:sz w:val="28"/>
          <w:szCs w:val="28"/>
          <w:lang w:bidi="ar"/>
        </w:rPr>
        <w:t>53</w:t>
      </w:r>
      <w:r>
        <w:rPr>
          <w:rFonts w:ascii="楷体" w:eastAsia="楷体" w:hAnsi="楷体" w:cs="楷体" w:hint="eastAsia"/>
          <w:sz w:val="28"/>
          <w:szCs w:val="28"/>
          <w:lang w:bidi="ar"/>
        </w:rPr>
        <w:t>条，再次明确了履行统一领导职责或者组织处置突发事件的人民政府，应当按照有关规定统一、准确、及时发布有关突发事件事态发展和应急处置工作的信息。</w:t>
      </w:r>
      <w:r>
        <w:rPr>
          <w:rFonts w:ascii="楷体" w:eastAsia="楷体" w:hAnsi="楷体" w:cs="楷体" w:hint="eastAsia"/>
          <w:sz w:val="28"/>
          <w:szCs w:val="28"/>
          <w:lang w:bidi="ar"/>
        </w:rPr>
        <w:t>《防治法》与《应对法》对疫情发布主体的权限却做了截然不同的规定。疫情信息公开究竟应该适用何种法律规定？</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从效力等级角度来看，两法的法律位阶相同，都是全国人民代表大会常务委员会制定的一般法律；从立法时间先后角度来看，《应对法》是</w:t>
      </w:r>
      <w:r>
        <w:rPr>
          <w:rFonts w:ascii="楷体" w:eastAsia="楷体" w:hAnsi="楷体" w:cs="楷体" w:hint="eastAsia"/>
          <w:sz w:val="28"/>
          <w:szCs w:val="28"/>
          <w:lang w:bidi="ar"/>
        </w:rPr>
        <w:t>2007</w:t>
      </w:r>
      <w:r>
        <w:rPr>
          <w:rFonts w:ascii="楷体" w:eastAsia="楷体" w:hAnsi="楷体" w:cs="楷体" w:hint="eastAsia"/>
          <w:sz w:val="28"/>
          <w:szCs w:val="28"/>
          <w:lang w:bidi="ar"/>
        </w:rPr>
        <w:t>年</w:t>
      </w:r>
      <w:r>
        <w:rPr>
          <w:rFonts w:ascii="楷体" w:eastAsia="楷体" w:hAnsi="楷体" w:cs="楷体" w:hint="eastAsia"/>
          <w:sz w:val="28"/>
          <w:szCs w:val="28"/>
          <w:lang w:bidi="ar"/>
        </w:rPr>
        <w:t>8</w:t>
      </w:r>
      <w:r>
        <w:rPr>
          <w:rFonts w:ascii="楷体" w:eastAsia="楷体" w:hAnsi="楷体" w:cs="楷体" w:hint="eastAsia"/>
          <w:sz w:val="28"/>
          <w:szCs w:val="28"/>
          <w:lang w:bidi="ar"/>
        </w:rPr>
        <w:t>月通过，自</w:t>
      </w:r>
      <w:r>
        <w:rPr>
          <w:rFonts w:ascii="楷体" w:eastAsia="楷体" w:hAnsi="楷体" w:cs="楷体" w:hint="eastAsia"/>
          <w:sz w:val="28"/>
          <w:szCs w:val="28"/>
          <w:lang w:bidi="ar"/>
        </w:rPr>
        <w:t>2007</w:t>
      </w:r>
      <w:r>
        <w:rPr>
          <w:rFonts w:ascii="楷体" w:eastAsia="楷体" w:hAnsi="楷体" w:cs="楷体" w:hint="eastAsia"/>
          <w:sz w:val="28"/>
          <w:szCs w:val="28"/>
          <w:lang w:bidi="ar"/>
        </w:rPr>
        <w:t>年</w:t>
      </w:r>
      <w:r>
        <w:rPr>
          <w:rFonts w:ascii="楷体" w:eastAsia="楷体" w:hAnsi="楷体" w:cs="楷体" w:hint="eastAsia"/>
          <w:sz w:val="28"/>
          <w:szCs w:val="28"/>
          <w:lang w:bidi="ar"/>
        </w:rPr>
        <w:t>11</w:t>
      </w:r>
      <w:r>
        <w:rPr>
          <w:rFonts w:ascii="楷体" w:eastAsia="楷体" w:hAnsi="楷体" w:cs="楷体" w:hint="eastAsia"/>
          <w:sz w:val="28"/>
          <w:szCs w:val="28"/>
          <w:lang w:bidi="ar"/>
        </w:rPr>
        <w:t>月起施行，而《防治法》是</w:t>
      </w:r>
      <w:r>
        <w:rPr>
          <w:rFonts w:ascii="楷体" w:eastAsia="楷体" w:hAnsi="楷体" w:cs="楷体" w:hint="eastAsia"/>
          <w:sz w:val="28"/>
          <w:szCs w:val="28"/>
          <w:lang w:bidi="ar"/>
        </w:rPr>
        <w:t>1989</w:t>
      </w:r>
      <w:r>
        <w:rPr>
          <w:rFonts w:ascii="楷体" w:eastAsia="楷体" w:hAnsi="楷体" w:cs="楷体" w:hint="eastAsia"/>
          <w:sz w:val="28"/>
          <w:szCs w:val="28"/>
          <w:lang w:bidi="ar"/>
        </w:rPr>
        <w:lastRenderedPageBreak/>
        <w:t>年</w:t>
      </w:r>
      <w:r>
        <w:rPr>
          <w:rFonts w:ascii="楷体" w:eastAsia="楷体" w:hAnsi="楷体" w:cs="楷体" w:hint="eastAsia"/>
          <w:sz w:val="28"/>
          <w:szCs w:val="28"/>
          <w:lang w:bidi="ar"/>
        </w:rPr>
        <w:t>2</w:t>
      </w:r>
      <w:r>
        <w:rPr>
          <w:rFonts w:ascii="楷体" w:eastAsia="楷体" w:hAnsi="楷体" w:cs="楷体" w:hint="eastAsia"/>
          <w:sz w:val="28"/>
          <w:szCs w:val="28"/>
          <w:lang w:bidi="ar"/>
        </w:rPr>
        <w:t>月通过，</w:t>
      </w:r>
      <w:r>
        <w:rPr>
          <w:rFonts w:ascii="楷体" w:eastAsia="楷体" w:hAnsi="楷体" w:cs="楷体" w:hint="eastAsia"/>
          <w:sz w:val="28"/>
          <w:szCs w:val="28"/>
          <w:lang w:bidi="ar"/>
        </w:rPr>
        <w:t>2013</w:t>
      </w:r>
      <w:r>
        <w:rPr>
          <w:rFonts w:ascii="楷体" w:eastAsia="楷体" w:hAnsi="楷体" w:cs="楷体" w:hint="eastAsia"/>
          <w:sz w:val="28"/>
          <w:szCs w:val="28"/>
          <w:lang w:bidi="ar"/>
        </w:rPr>
        <w:t>年</w:t>
      </w:r>
      <w:r>
        <w:rPr>
          <w:rFonts w:ascii="楷体" w:eastAsia="楷体" w:hAnsi="楷体" w:cs="楷体" w:hint="eastAsia"/>
          <w:sz w:val="28"/>
          <w:szCs w:val="28"/>
          <w:lang w:bidi="ar"/>
        </w:rPr>
        <w:t>6</w:t>
      </w:r>
      <w:r>
        <w:rPr>
          <w:rFonts w:ascii="楷体" w:eastAsia="楷体" w:hAnsi="楷体" w:cs="楷体" w:hint="eastAsia"/>
          <w:sz w:val="28"/>
          <w:szCs w:val="28"/>
          <w:lang w:bidi="ar"/>
        </w:rPr>
        <w:t>月修订，从新法优于旧法而言，应该优先适用《应对法》</w:t>
      </w:r>
      <w:r>
        <w:rPr>
          <w:rFonts w:ascii="楷体" w:eastAsia="楷体" w:hAnsi="楷体" w:cs="楷体" w:hint="eastAsia"/>
          <w:sz w:val="28"/>
          <w:szCs w:val="28"/>
          <w:lang w:bidi="ar"/>
        </w:rPr>
        <w:t>；从一般法和特别法角度来看，《应对法》是一部综合性的、系统性的法律，以规范调整所有突发事件，具体包括自然灾害、事故灾难、公共卫生事件和社会安全事件，而《防治法》的范围非常聚焦，仅限于“预防、控制和消除传染病的发生与流行”，从特别法优于一般法角度而言，应该优先适用《防治法》。对此如何处置？《立法法》第</w:t>
      </w:r>
      <w:r>
        <w:rPr>
          <w:rFonts w:ascii="楷体" w:eastAsia="楷体" w:hAnsi="楷体" w:cs="楷体" w:hint="eastAsia"/>
          <w:sz w:val="28"/>
          <w:szCs w:val="28"/>
          <w:lang w:bidi="ar"/>
        </w:rPr>
        <w:t>94</w:t>
      </w:r>
      <w:r>
        <w:rPr>
          <w:rFonts w:ascii="楷体" w:eastAsia="楷体" w:hAnsi="楷体" w:cs="楷体" w:hint="eastAsia"/>
          <w:sz w:val="28"/>
          <w:szCs w:val="28"/>
          <w:lang w:bidi="ar"/>
        </w:rPr>
        <w:t>条做出了明确规定，“法律之间对同一事项的新的一般规定与旧的特别规定不一致，不能确定如何适用时，由全国人民代表大会常务委员会裁决。”目前全国人大常委会并未对此予以裁决明确，鉴于目前“突发事件”缺乏全国统一的分级</w:t>
      </w:r>
      <w:r>
        <w:rPr>
          <w:rFonts w:ascii="楷体" w:eastAsia="楷体" w:hAnsi="楷体" w:cs="楷体" w:hint="eastAsia"/>
          <w:sz w:val="28"/>
          <w:szCs w:val="28"/>
          <w:lang w:bidi="ar"/>
        </w:rPr>
        <w:t>标准、突发事件上报之后“分级负责”权责范围不明，以及分级标准不清、公布主体不明，导致信息公开难以及时有效实现等混乱局面，</w:t>
      </w:r>
      <w:r>
        <w:rPr>
          <w:rFonts w:ascii="楷体" w:eastAsia="楷体" w:hAnsi="楷体" w:cs="楷体" w:hint="eastAsia"/>
          <w:sz w:val="28"/>
          <w:szCs w:val="28"/>
          <w:lang w:bidi="ar"/>
        </w:rPr>
        <w:t>建议明确当不属于法定乙类以上的的突发事件发生时，国家卫生行政部门、省一级政府或授权的省级卫生行政部门，进一步明确共同列为突发事件的疫情公布义务人。</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2.</w:t>
      </w:r>
      <w:r>
        <w:rPr>
          <w:rFonts w:ascii="楷体" w:eastAsia="楷体" w:hAnsi="楷体" w:cs="楷体" w:hint="eastAsia"/>
          <w:b/>
          <w:bCs/>
          <w:sz w:val="28"/>
          <w:szCs w:val="28"/>
          <w:lang w:bidi="ar"/>
        </w:rPr>
        <w:t>传染病的预警、监测主体责任敲定</w:t>
      </w:r>
    </w:p>
    <w:p w:rsidR="00B365D5" w:rsidRDefault="0061000D">
      <w:pPr>
        <w:adjustRightInd w:val="0"/>
        <w:snapToGrid w:val="0"/>
        <w:spacing w:line="500" w:lineRule="exact"/>
        <w:ind w:firstLineChars="200" w:firstLine="560"/>
        <w:outlineLvl w:val="0"/>
        <w:rPr>
          <w:rFonts w:ascii="楷体" w:eastAsia="楷体" w:hAnsi="楷体" w:cs="楷体"/>
          <w:color w:val="000000"/>
          <w:sz w:val="28"/>
          <w:szCs w:val="28"/>
        </w:rPr>
      </w:pPr>
      <w:r>
        <w:rPr>
          <w:rFonts w:ascii="楷体" w:eastAsia="楷体" w:hAnsi="楷体" w:cs="楷体" w:hint="eastAsia"/>
          <w:sz w:val="28"/>
          <w:szCs w:val="28"/>
          <w:lang w:bidi="ar"/>
        </w:rPr>
        <w:t>17</w:t>
      </w:r>
      <w:r>
        <w:rPr>
          <w:rFonts w:ascii="楷体" w:eastAsia="楷体" w:hAnsi="楷体" w:cs="楷体" w:hint="eastAsia"/>
          <w:sz w:val="28"/>
          <w:szCs w:val="28"/>
          <w:lang w:bidi="ar"/>
        </w:rPr>
        <w:t>年之前“非典”教训反思之时，《应急条例》起草人述及的“信息渠道不畅通，信息统计不准确，反应不快，应急准备不足等”等问题，</w:t>
      </w:r>
      <w:r>
        <w:rPr>
          <w:rFonts w:ascii="楷体" w:eastAsia="楷体" w:hAnsi="楷体" w:cs="楷体" w:hint="eastAsia"/>
          <w:sz w:val="28"/>
          <w:szCs w:val="28"/>
          <w:lang w:bidi="ar"/>
        </w:rPr>
        <w:t>此次疫情何以依然不同程度的存在。其中，预警制度的监测主体责任缺位是要害所在。《防治法》第</w:t>
      </w:r>
      <w:r>
        <w:rPr>
          <w:rFonts w:ascii="楷体" w:eastAsia="楷体" w:hAnsi="楷体" w:cs="楷体" w:hint="eastAsia"/>
          <w:sz w:val="28"/>
          <w:szCs w:val="28"/>
          <w:lang w:bidi="ar"/>
        </w:rPr>
        <w:t>19</w:t>
      </w:r>
      <w:r>
        <w:rPr>
          <w:rFonts w:ascii="楷体" w:eastAsia="楷体" w:hAnsi="楷体" w:cs="楷体" w:hint="eastAsia"/>
          <w:sz w:val="28"/>
          <w:szCs w:val="28"/>
          <w:lang w:bidi="ar"/>
        </w:rPr>
        <w:t>条只是规定了“根据传染病发生、流行趋势预测、及时发生传染病预警”的传染病预警制度，但行政主体发布预警之前尤其情况不明时，往往是由疾控机构扮演认定传染病或突发事件的关键专家角色，其疏忽失责会直接导致预警决策的信息供应不足。</w:t>
      </w:r>
      <w:r>
        <w:rPr>
          <w:rFonts w:ascii="楷体" w:eastAsia="楷体" w:hAnsi="楷体" w:cs="楷体" w:hint="eastAsia"/>
          <w:color w:val="000000"/>
          <w:sz w:val="28"/>
          <w:szCs w:val="28"/>
        </w:rPr>
        <w:t>从管理模式来看，地方疾控是“块”状管理模式，主要向地方卫健委和政府负</w:t>
      </w:r>
      <w:r>
        <w:rPr>
          <w:rFonts w:ascii="楷体" w:eastAsia="楷体" w:hAnsi="楷体" w:cs="楷体" w:hint="eastAsia"/>
          <w:color w:val="000000"/>
          <w:sz w:val="28"/>
          <w:szCs w:val="28"/>
        </w:rPr>
        <w:t>责的，而不是“条”状垂直管理模式，这就造成地方数据报送时可能会隐瞒不报送或选择性报送。事实也正是如此，武汉方面对医院上报病例限制了诸多条件。</w:t>
      </w:r>
      <w:r>
        <w:rPr>
          <w:rFonts w:ascii="楷体" w:eastAsia="楷体" w:hAnsi="楷体" w:cs="楷体" w:hint="eastAsia"/>
          <w:color w:val="000000"/>
          <w:sz w:val="28"/>
          <w:szCs w:val="28"/>
        </w:rPr>
        <w:t>1</w:t>
      </w:r>
      <w:r>
        <w:rPr>
          <w:rFonts w:ascii="楷体" w:eastAsia="楷体" w:hAnsi="楷体" w:cs="楷体" w:hint="eastAsia"/>
          <w:color w:val="000000"/>
          <w:sz w:val="28"/>
          <w:szCs w:val="28"/>
        </w:rPr>
        <w:t>月初，武汉当时已经出现了人传人迹象，也有医护人员出现被感染症状，但武汉市卫健</w:t>
      </w:r>
      <w:r>
        <w:rPr>
          <w:rFonts w:ascii="楷体" w:eastAsia="楷体" w:hAnsi="楷体" w:cs="楷体" w:hint="eastAsia"/>
          <w:color w:val="000000"/>
          <w:sz w:val="28"/>
          <w:szCs w:val="28"/>
        </w:rPr>
        <w:lastRenderedPageBreak/>
        <w:t>委执行的疫情诊断上报标准与湖北省、国家专家组的标准并不一致。</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color w:val="000000"/>
          <w:sz w:val="28"/>
          <w:szCs w:val="28"/>
        </w:rPr>
        <w:t>武汉市卫健委执行的标准是《不明原因的病毒性肺炎入排标准》，具备流行病学史</w:t>
      </w:r>
      <w:r>
        <w:rPr>
          <w:rFonts w:ascii="楷体" w:eastAsia="楷体" w:hAnsi="楷体" w:cs="楷体" w:hint="eastAsia"/>
          <w:color w:val="000000"/>
          <w:sz w:val="28"/>
          <w:szCs w:val="28"/>
        </w:rPr>
        <w:t>和临床表现者</w:t>
      </w:r>
      <w:r>
        <w:rPr>
          <w:rFonts w:ascii="楷体" w:eastAsia="楷体" w:hAnsi="楷体" w:cs="楷体" w:hint="eastAsia"/>
          <w:color w:val="000000"/>
          <w:sz w:val="28"/>
          <w:szCs w:val="28"/>
        </w:rPr>
        <w:t>纳入，两者缺一不可。也就是说“上报标准”是必须同时符合</w:t>
      </w:r>
      <w:r>
        <w:rPr>
          <w:rFonts w:eastAsia="楷体" w:hint="eastAsia"/>
          <w:color w:val="000000"/>
          <w:sz w:val="28"/>
          <w:szCs w:val="28"/>
        </w:rPr>
        <w:t>4</w:t>
      </w:r>
      <w:r>
        <w:rPr>
          <w:rFonts w:ascii="楷体" w:eastAsia="楷体" w:hAnsi="楷体" w:cs="楷体" w:hint="eastAsia"/>
          <w:color w:val="000000"/>
          <w:sz w:val="28"/>
          <w:szCs w:val="28"/>
        </w:rPr>
        <w:t>条“临床体现”且满足</w:t>
      </w:r>
      <w:r>
        <w:rPr>
          <w:rFonts w:eastAsia="楷体" w:hint="eastAsia"/>
          <w:color w:val="000000"/>
          <w:sz w:val="28"/>
          <w:szCs w:val="28"/>
        </w:rPr>
        <w:t>4</w:t>
      </w:r>
      <w:r>
        <w:rPr>
          <w:rFonts w:ascii="楷体" w:eastAsia="楷体" w:hAnsi="楷体" w:cs="楷体" w:hint="eastAsia"/>
          <w:color w:val="000000"/>
          <w:sz w:val="28"/>
          <w:szCs w:val="28"/>
        </w:rPr>
        <w:t>条“流行病学史”之一。而湖北省和国家专家组的标准是只要满足</w:t>
      </w:r>
      <w:r>
        <w:rPr>
          <w:rFonts w:eastAsia="楷体" w:hint="eastAsia"/>
          <w:color w:val="000000"/>
          <w:sz w:val="28"/>
          <w:szCs w:val="28"/>
        </w:rPr>
        <w:t>4</w:t>
      </w:r>
      <w:r>
        <w:rPr>
          <w:rFonts w:eastAsia="楷体" w:hint="eastAsia"/>
          <w:color w:val="000000"/>
          <w:sz w:val="28"/>
          <w:szCs w:val="28"/>
        </w:rPr>
        <w:t>条</w:t>
      </w:r>
      <w:r>
        <w:rPr>
          <w:rFonts w:ascii="楷体" w:eastAsia="楷体" w:hAnsi="楷体" w:cs="楷体" w:hint="eastAsia"/>
          <w:color w:val="000000"/>
          <w:sz w:val="28"/>
          <w:szCs w:val="28"/>
        </w:rPr>
        <w:t>“临床体现”即可认定，如果有流行病学史的话，则满足“临床体现”</w:t>
      </w:r>
      <w:r>
        <w:rPr>
          <w:rFonts w:eastAsia="楷体"/>
          <w:color w:val="000000"/>
          <w:sz w:val="28"/>
          <w:szCs w:val="28"/>
        </w:rPr>
        <w:t>第</w:t>
      </w:r>
      <w:r>
        <w:rPr>
          <w:rFonts w:eastAsia="楷体"/>
          <w:color w:val="000000"/>
          <w:sz w:val="28"/>
          <w:szCs w:val="28"/>
        </w:rPr>
        <w:t>1-3</w:t>
      </w:r>
      <w:r>
        <w:rPr>
          <w:rFonts w:eastAsia="楷体"/>
          <w:color w:val="000000"/>
          <w:sz w:val="28"/>
          <w:szCs w:val="28"/>
        </w:rPr>
        <w:t>条</w:t>
      </w:r>
      <w:r>
        <w:rPr>
          <w:rFonts w:ascii="楷体" w:eastAsia="楷体" w:hAnsi="楷体" w:cs="楷体" w:hint="eastAsia"/>
          <w:color w:val="000000"/>
          <w:sz w:val="28"/>
          <w:szCs w:val="28"/>
        </w:rPr>
        <w:t>也可以认定。可见武汉卫健委执行的标准要比湖北省和国家专家组严苛的多，采取严格控制的方式限制上报数量，从而漏报了大量疑似病例。</w:t>
      </w:r>
      <w:r>
        <w:rPr>
          <w:rFonts w:ascii="楷体" w:eastAsia="楷体" w:hAnsi="楷体" w:cs="楷体" w:hint="eastAsia"/>
          <w:color w:val="000000"/>
          <w:sz w:val="28"/>
          <w:szCs w:val="28"/>
        </w:rPr>
        <w:t>我们认为，</w:t>
      </w:r>
      <w:r>
        <w:rPr>
          <w:rFonts w:ascii="楷体" w:eastAsia="楷体" w:hAnsi="楷体" w:cs="楷体" w:hint="eastAsia"/>
          <w:color w:val="000000"/>
          <w:sz w:val="28"/>
          <w:szCs w:val="28"/>
        </w:rPr>
        <w:t>无论如何，即便在法律操作程序存在争议的情况下，也不应反过来封锁、隐瞒疫情信息，并实施不利于疫情防控的行为活动。</w:t>
      </w:r>
      <w:r>
        <w:rPr>
          <w:rFonts w:ascii="楷体" w:eastAsia="楷体" w:hAnsi="楷体" w:cs="楷体" w:hint="eastAsia"/>
          <w:sz w:val="28"/>
          <w:szCs w:val="28"/>
          <w:lang w:bidi="ar"/>
        </w:rPr>
        <w:t>建议明确传染病或突发事件中疾控机构作为监测主体，以及其及时提供最新掌握信息的法定义务和问责机制。</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三、信息公开合理范围界定及其激励机制</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目前，</w:t>
      </w:r>
      <w:r>
        <w:rPr>
          <w:rFonts w:ascii="楷体" w:eastAsia="楷体" w:hAnsi="楷体" w:cs="楷体" w:hint="eastAsia"/>
          <w:sz w:val="28"/>
          <w:szCs w:val="28"/>
          <w:lang w:bidi="ar"/>
        </w:rPr>
        <w:t>政府信息公开的供给和公民对公开的需求之间还存在较大差距。政府一些部门尚未</w:t>
      </w:r>
      <w:r>
        <w:rPr>
          <w:rFonts w:ascii="楷体" w:eastAsia="楷体" w:hAnsi="楷体" w:cs="楷体" w:hint="eastAsia"/>
          <w:sz w:val="28"/>
          <w:szCs w:val="28"/>
          <w:lang w:bidi="ar"/>
        </w:rPr>
        <w:t>厘清信息公开合理边界，基于政府权力不受制约的天然倾向，政府信息公开边界的合理确定受制于政府公权力与公民知情权保障之间的张力，本次疫情暴露出我国信息公开范围尽管已然初步界定，但边界仍不够明晰、系统、完整。同时，为了保障公民个人知情权和监督权的实现，有必要构建内部知情人士检举揭发保护制度来支撑信息公开</w:t>
      </w:r>
      <w:r>
        <w:rPr>
          <w:rFonts w:ascii="楷体" w:eastAsia="楷体" w:hAnsi="楷体" w:cs="楷体" w:hint="eastAsia"/>
          <w:sz w:val="28"/>
          <w:szCs w:val="28"/>
          <w:lang w:bidi="ar"/>
        </w:rPr>
        <w:t>得以正常有序运作。</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1.</w:t>
      </w:r>
      <w:r>
        <w:rPr>
          <w:rFonts w:ascii="楷体" w:eastAsia="楷体" w:hAnsi="楷体" w:cs="楷体" w:hint="eastAsia"/>
          <w:b/>
          <w:bCs/>
          <w:sz w:val="28"/>
          <w:szCs w:val="28"/>
          <w:lang w:bidi="ar"/>
        </w:rPr>
        <w:t>疫情不确定性信息</w:t>
      </w:r>
      <w:r>
        <w:rPr>
          <w:rFonts w:ascii="楷体" w:eastAsia="楷体" w:hAnsi="楷体" w:cs="楷体" w:hint="eastAsia"/>
          <w:b/>
          <w:bCs/>
          <w:sz w:val="28"/>
          <w:szCs w:val="28"/>
          <w:lang w:bidi="ar"/>
        </w:rPr>
        <w:t>和数据交代原则和要素</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当前</w:t>
      </w:r>
      <w:r>
        <w:rPr>
          <w:rFonts w:ascii="楷体" w:eastAsia="楷体" w:hAnsi="楷体" w:cs="楷体" w:hint="eastAsia"/>
          <w:sz w:val="28"/>
          <w:szCs w:val="28"/>
          <w:lang w:bidi="ar"/>
        </w:rPr>
        <w:t>《</w:t>
      </w:r>
      <w:r>
        <w:rPr>
          <w:rFonts w:ascii="楷体" w:eastAsia="楷体" w:hAnsi="楷体" w:cs="楷体" w:hint="eastAsia"/>
          <w:sz w:val="28"/>
          <w:szCs w:val="28"/>
          <w:lang w:bidi="ar"/>
        </w:rPr>
        <w:t>应对法</w:t>
      </w:r>
      <w:r>
        <w:rPr>
          <w:rFonts w:ascii="楷体" w:eastAsia="楷体" w:hAnsi="楷体" w:cs="楷体" w:hint="eastAsia"/>
          <w:sz w:val="28"/>
          <w:szCs w:val="28"/>
          <w:lang w:bidi="ar"/>
        </w:rPr>
        <w:t>》、</w:t>
      </w:r>
      <w:r>
        <w:rPr>
          <w:rFonts w:ascii="楷体" w:eastAsia="楷体" w:hAnsi="楷体" w:cs="楷体" w:hint="eastAsia"/>
          <w:sz w:val="28"/>
          <w:szCs w:val="28"/>
          <w:lang w:bidi="ar"/>
        </w:rPr>
        <w:t>《防治法》、《应急条例》和《公开条例》构建的疫情信息公开机制，更多侧重于提供疫情情况、防护知识、政府应急和相关政策等相对比较粗糙的“政府信息”，而事实上公众需要更多最权威、最新的、最准确的与疫情密切相关的“政府数据”，包括一线诊疗数据、资源及补充渠道数据、应急动员和当下短板数据、潜在病源迁徒数据等，也包括类似中科院武汉病毒研究所被质疑之后</w:t>
      </w:r>
      <w:r>
        <w:rPr>
          <w:rFonts w:ascii="楷体" w:eastAsia="楷体" w:hAnsi="楷体" w:cs="楷体" w:hint="eastAsia"/>
          <w:sz w:val="28"/>
          <w:szCs w:val="28"/>
          <w:lang w:bidi="ar"/>
        </w:rPr>
        <w:lastRenderedPageBreak/>
        <w:t>全面筛查，以期能够自证清白的反驳数据。这些数据的及时公布能确保科研机构、医药公司及科学家等可以</w:t>
      </w:r>
      <w:r>
        <w:rPr>
          <w:rFonts w:ascii="楷体" w:eastAsia="楷体" w:hAnsi="楷体" w:cs="楷体" w:hint="eastAsia"/>
          <w:sz w:val="28"/>
          <w:szCs w:val="28"/>
          <w:lang w:bidi="ar"/>
        </w:rPr>
        <w:t>充分利用疫情相关政府数据，从而更早找到疫苗或特效药。目前，官方统计和数据科学而又相对保守。比如，肺疫期间的“确诊”、“疑似”、“治愈”、“死亡”等关键统计数字，受到医疗资源瓶颈的限制，只是实际疫情的一部分。这种不能反映全貌的方式不构成《防治法》的“瞒报”，但会造成民众的麻痹及行为的误判。因此，需要向民众坦诚政府公布数据背后的形成机制，帮助民众了解与实际疫情之间的差异，甚至可以与民众做</w:t>
      </w:r>
      <w:r>
        <w:rPr>
          <w:rFonts w:ascii="楷体" w:eastAsia="楷体" w:hAnsi="楷体" w:cs="楷体" w:hint="eastAsia"/>
          <w:sz w:val="28"/>
          <w:szCs w:val="28"/>
          <w:lang w:bidi="ar"/>
        </w:rPr>
        <w:t>一些对话式的理论说明</w:t>
      </w:r>
      <w:r>
        <w:rPr>
          <w:rFonts w:ascii="楷体" w:eastAsia="楷体" w:hAnsi="楷体" w:cs="楷体" w:hint="eastAsia"/>
          <w:sz w:val="28"/>
          <w:szCs w:val="28"/>
          <w:lang w:bidi="ar"/>
        </w:rPr>
        <w:t>和探讨，不妨借助于某些</w:t>
      </w:r>
      <w:r>
        <w:rPr>
          <w:rFonts w:ascii="楷体" w:eastAsia="楷体" w:hAnsi="楷体" w:cs="楷体" w:hint="eastAsia"/>
          <w:sz w:val="28"/>
          <w:szCs w:val="28"/>
          <w:lang w:bidi="ar"/>
        </w:rPr>
        <w:t>“</w:t>
      </w:r>
      <w:r>
        <w:rPr>
          <w:rFonts w:ascii="楷体" w:eastAsia="楷体" w:hAnsi="楷体" w:cs="楷体" w:hint="eastAsia"/>
          <w:sz w:val="28"/>
          <w:szCs w:val="28"/>
          <w:lang w:bidi="ar"/>
        </w:rPr>
        <w:t>靠谱</w:t>
      </w:r>
      <w:r>
        <w:rPr>
          <w:rFonts w:ascii="楷体" w:eastAsia="楷体" w:hAnsi="楷体" w:cs="楷体" w:hint="eastAsia"/>
          <w:sz w:val="28"/>
          <w:szCs w:val="28"/>
          <w:lang w:bidi="ar"/>
        </w:rPr>
        <w:t>”</w:t>
      </w:r>
      <w:r>
        <w:rPr>
          <w:rFonts w:ascii="楷体" w:eastAsia="楷体" w:hAnsi="楷体" w:cs="楷体" w:hint="eastAsia"/>
          <w:sz w:val="28"/>
          <w:szCs w:val="28"/>
          <w:lang w:bidi="ar"/>
        </w:rPr>
        <w:t>的专家学者判断为参考。关键是要让民众意识到不能单纯依赖政府披露的保守但低估的口径来判断疫情的严重性，而是要严阵以待，丝毫不能松懈。对构成法定的突发事件中涉及后果严重、情况不明的“不确定性”疫情公布，明确规定本以谨慎注意的从严从紧原则，必须平行交待数据背后的形成机制。</w:t>
      </w:r>
      <w:r>
        <w:rPr>
          <w:rFonts w:ascii="楷体" w:eastAsia="楷体" w:hAnsi="楷体" w:cs="楷体" w:hint="eastAsia"/>
          <w:sz w:val="28"/>
          <w:szCs w:val="28"/>
          <w:lang w:bidi="ar"/>
        </w:rPr>
        <w:t>基于上述考量要素，</w:t>
      </w:r>
      <w:r>
        <w:rPr>
          <w:rFonts w:ascii="楷体" w:eastAsia="楷体" w:hAnsi="楷体" w:cs="楷体" w:hint="eastAsia"/>
          <w:sz w:val="28"/>
          <w:szCs w:val="28"/>
          <w:lang w:bidi="ar"/>
        </w:rPr>
        <w:t>建议重大疫情政府信息公开</w:t>
      </w:r>
      <w:r>
        <w:rPr>
          <w:rFonts w:ascii="楷体" w:eastAsia="楷体" w:hAnsi="楷体" w:cs="楷体" w:hint="eastAsia"/>
          <w:sz w:val="28"/>
          <w:szCs w:val="28"/>
          <w:lang w:bidi="ar"/>
        </w:rPr>
        <w:t>以</w:t>
      </w:r>
      <w:r>
        <w:rPr>
          <w:rFonts w:ascii="楷体" w:eastAsia="楷体" w:hAnsi="楷体" w:cs="楷体" w:hint="eastAsia"/>
          <w:sz w:val="28"/>
          <w:szCs w:val="28"/>
          <w:lang w:bidi="ar"/>
        </w:rPr>
        <w:t>具有“直接使用价值”为导向及时公布</w:t>
      </w:r>
      <w:r>
        <w:rPr>
          <w:rFonts w:ascii="楷体" w:eastAsia="楷体" w:hAnsi="楷体" w:cs="楷体" w:hint="eastAsia"/>
          <w:sz w:val="28"/>
          <w:szCs w:val="28"/>
          <w:lang w:bidi="ar"/>
        </w:rPr>
        <w:t>政府信息和支撑信息形成的政府数据。</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在政府</w:t>
      </w:r>
      <w:r>
        <w:rPr>
          <w:rFonts w:ascii="楷体" w:eastAsia="楷体" w:hAnsi="楷体" w:cs="楷体" w:hint="eastAsia"/>
          <w:sz w:val="28"/>
          <w:szCs w:val="28"/>
          <w:lang w:bidi="ar"/>
        </w:rPr>
        <w:t>一般性</w:t>
      </w:r>
      <w:r>
        <w:rPr>
          <w:rFonts w:ascii="楷体" w:eastAsia="楷体" w:hAnsi="楷体" w:cs="楷体" w:hint="eastAsia"/>
          <w:sz w:val="28"/>
          <w:szCs w:val="28"/>
          <w:lang w:bidi="ar"/>
        </w:rPr>
        <w:t>信息层面，可考虑的内容包括：</w:t>
      </w:r>
      <w:r>
        <w:rPr>
          <w:rFonts w:ascii="楷体" w:eastAsia="楷体" w:hAnsi="楷体" w:cs="楷体" w:hint="eastAsia"/>
          <w:sz w:val="28"/>
          <w:szCs w:val="28"/>
          <w:lang w:bidi="ar"/>
        </w:rPr>
        <w:t>政府有关命令、决定；危险源、危险区域信息；预警警报；反映突发事件信息的渠道；突发事件预测信息</w:t>
      </w:r>
      <w:r>
        <w:rPr>
          <w:rFonts w:ascii="楷体" w:eastAsia="楷体" w:hAnsi="楷体" w:cs="楷体" w:hint="eastAsia"/>
          <w:sz w:val="28"/>
          <w:szCs w:val="28"/>
          <w:lang w:bidi="ar"/>
        </w:rPr>
        <w:t>和分析评估结果；可能受到突发事件危害的警告；公布咨询电话；采取特定措施避免或者减轻危害的建议、劝告；突发事件事态发展和应急处置工作的信息。涉及个人隐私可以采取脱敏公布。</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在</w:t>
      </w:r>
      <w:r>
        <w:rPr>
          <w:rFonts w:ascii="楷体" w:eastAsia="楷体" w:hAnsi="楷体" w:cs="楷体" w:hint="eastAsia"/>
          <w:sz w:val="28"/>
          <w:szCs w:val="28"/>
          <w:lang w:bidi="ar"/>
        </w:rPr>
        <w:t>更为全面</w:t>
      </w:r>
      <w:r>
        <w:rPr>
          <w:rFonts w:ascii="楷体" w:eastAsia="楷体" w:hAnsi="楷体" w:cs="楷体" w:hint="eastAsia"/>
          <w:sz w:val="28"/>
          <w:szCs w:val="28"/>
          <w:lang w:bidi="ar"/>
        </w:rPr>
        <w:t>而翔实</w:t>
      </w:r>
      <w:r>
        <w:rPr>
          <w:rFonts w:ascii="楷体" w:eastAsia="楷体" w:hAnsi="楷体" w:cs="楷体" w:hint="eastAsia"/>
          <w:sz w:val="28"/>
          <w:szCs w:val="28"/>
          <w:lang w:bidi="ar"/>
        </w:rPr>
        <w:t>的数据</w:t>
      </w:r>
      <w:r>
        <w:rPr>
          <w:rFonts w:ascii="楷体" w:eastAsia="楷体" w:hAnsi="楷体" w:cs="楷体" w:hint="eastAsia"/>
          <w:sz w:val="28"/>
          <w:szCs w:val="28"/>
          <w:lang w:bidi="ar"/>
        </w:rPr>
        <w:t>层面，可考虑的内容包括：</w:t>
      </w:r>
      <w:r>
        <w:rPr>
          <w:rFonts w:ascii="Calibri" w:eastAsia="楷体" w:hAnsi="Calibri" w:cs="Calibri"/>
          <w:sz w:val="28"/>
          <w:szCs w:val="28"/>
          <w:lang w:bidi="ar"/>
        </w:rPr>
        <w:fldChar w:fldCharType="begin"/>
      </w:r>
      <w:r>
        <w:rPr>
          <w:rFonts w:ascii="Calibri" w:eastAsia="楷体" w:hAnsi="Calibri" w:cs="Calibri"/>
          <w:sz w:val="28"/>
          <w:szCs w:val="28"/>
          <w:lang w:bidi="ar"/>
        </w:rPr>
        <w:instrText xml:space="preserve"> = 1 \* GB3 \* MERGEFORMAT </w:instrText>
      </w:r>
      <w:r>
        <w:rPr>
          <w:rFonts w:ascii="Calibri" w:eastAsia="楷体" w:hAnsi="Calibri" w:cs="Calibri"/>
          <w:sz w:val="28"/>
          <w:szCs w:val="28"/>
          <w:lang w:bidi="ar"/>
        </w:rPr>
        <w:fldChar w:fldCharType="separate"/>
      </w:r>
      <w:r>
        <w:t>①</w:t>
      </w:r>
      <w:r>
        <w:rPr>
          <w:rFonts w:ascii="Calibri" w:eastAsia="楷体" w:hAnsi="Calibri" w:cs="Calibri"/>
          <w:sz w:val="28"/>
          <w:szCs w:val="28"/>
          <w:lang w:bidi="ar"/>
        </w:rPr>
        <w:fldChar w:fldCharType="end"/>
      </w:r>
      <w:r>
        <w:rPr>
          <w:rFonts w:ascii="楷体" w:eastAsia="楷体" w:hAnsi="楷体" w:cs="楷体" w:hint="eastAsia"/>
          <w:sz w:val="28"/>
          <w:szCs w:val="28"/>
          <w:lang w:bidi="ar"/>
        </w:rPr>
        <w:t>确诊或疑似患者画像类数据。大规模实现对病毒传染主体的更准确、更动态追踪，全面识别和覆盖到流动人员中的确诊或疑似患者发病前后的时间点、轨迹点、诊疗档案、愈后跟踪。比如，患者所在的单位或小区信息，细化具体到楼栋、楼层和楼号；患者所乘交通工</w:t>
      </w:r>
      <w:r>
        <w:rPr>
          <w:rFonts w:ascii="楷体" w:eastAsia="楷体" w:hAnsi="楷体" w:cs="楷体" w:hint="eastAsia"/>
          <w:sz w:val="28"/>
          <w:szCs w:val="28"/>
          <w:lang w:bidi="ar"/>
        </w:rPr>
        <w:t>具的时间、班次、</w:t>
      </w:r>
      <w:r>
        <w:rPr>
          <w:rFonts w:ascii="楷体" w:eastAsia="楷体" w:hAnsi="楷体" w:cs="楷体" w:hint="eastAsia"/>
          <w:sz w:val="28"/>
          <w:szCs w:val="28"/>
          <w:lang w:bidi="ar"/>
        </w:rPr>
        <w:lastRenderedPageBreak/>
        <w:t>车厢、座位号；患者潜伏期内曾经去过的菜场、超市、餐馆、单位、社区、医院等公共场所部位；患者诊疗期内的抗生素对肺疫的病原体病毒效用程度，以及滥用可能会产生的耐药性；危重或死亡患者的特征分布、病理和其他尚未发现的趋重性共性特点挖掘；患者愈后的移动轨迹、病情随访和潜在复发机率的统计等。</w:t>
      </w:r>
      <w:r>
        <w:rPr>
          <w:rFonts w:ascii="楷体" w:eastAsia="楷体" w:hAnsi="楷体" w:cs="楷体" w:hint="eastAsia"/>
          <w:sz w:val="28"/>
          <w:szCs w:val="28"/>
          <w:lang w:bidi="ar"/>
        </w:rPr>
        <w:fldChar w:fldCharType="begin"/>
      </w:r>
      <w:r>
        <w:rPr>
          <w:rFonts w:ascii="楷体" w:eastAsia="楷体" w:hAnsi="楷体" w:cs="楷体" w:hint="eastAsia"/>
          <w:sz w:val="28"/>
          <w:szCs w:val="28"/>
          <w:lang w:bidi="ar"/>
        </w:rPr>
        <w:instrText xml:space="preserve"> = 2 \* GB3 \* MERGEFORMAT </w:instrText>
      </w:r>
      <w:r>
        <w:rPr>
          <w:rFonts w:ascii="楷体" w:eastAsia="楷体" w:hAnsi="楷体" w:cs="楷体" w:hint="eastAsia"/>
          <w:sz w:val="28"/>
          <w:szCs w:val="28"/>
          <w:lang w:bidi="ar"/>
        </w:rPr>
        <w:fldChar w:fldCharType="separate"/>
      </w:r>
      <w:r>
        <w:t>②</w:t>
      </w:r>
      <w:r>
        <w:rPr>
          <w:rFonts w:ascii="楷体" w:eastAsia="楷体" w:hAnsi="楷体" w:cs="楷体" w:hint="eastAsia"/>
          <w:sz w:val="28"/>
          <w:szCs w:val="28"/>
          <w:lang w:bidi="ar"/>
        </w:rPr>
        <w:fldChar w:fldCharType="end"/>
      </w:r>
      <w:r>
        <w:rPr>
          <w:rFonts w:ascii="楷体" w:eastAsia="楷体" w:hAnsi="楷体" w:cs="楷体" w:hint="eastAsia"/>
          <w:sz w:val="28"/>
          <w:szCs w:val="28"/>
          <w:lang w:bidi="ar"/>
        </w:rPr>
        <w:t>不易发现的潜在病源</w:t>
      </w:r>
      <w:r>
        <w:rPr>
          <w:rFonts w:ascii="楷体" w:eastAsia="楷体" w:hAnsi="楷体" w:cs="楷体" w:hint="eastAsia"/>
          <w:sz w:val="28"/>
          <w:szCs w:val="28"/>
          <w:lang w:bidi="ar"/>
        </w:rPr>
        <w:t>类数据</w:t>
      </w:r>
      <w:r>
        <w:rPr>
          <w:rFonts w:ascii="楷体" w:eastAsia="楷体" w:hAnsi="楷体" w:cs="楷体" w:hint="eastAsia"/>
          <w:sz w:val="28"/>
          <w:szCs w:val="28"/>
          <w:lang w:bidi="ar"/>
        </w:rPr>
        <w:t>。进一步对所有传染源、传递链的和散布性信息，加以全方位大数据挖掘、降噪、整合，以及结合已有的从潜在的病源发展到疑似、确诊的路线，再</w:t>
      </w:r>
      <w:r>
        <w:rPr>
          <w:rFonts w:ascii="楷体" w:eastAsia="楷体" w:hAnsi="楷体" w:cs="楷体" w:hint="eastAsia"/>
          <w:sz w:val="28"/>
          <w:szCs w:val="28"/>
          <w:lang w:bidi="ar"/>
        </w:rPr>
        <w:t>有效结合卫疾、专家的共识性意见，逐一排查出的可能导致疫情扩散或增大风险的潜在病源及其分散传播路径。最大意义上地描绘出“次广泛的病源传播链条”，敲定和更新重点防控区域，完成社区网格化堵漏管理，支撑政府部门的联防联控，真正实现预知、防控、处置的闭环持续管理和精准施策。</w:t>
      </w:r>
    </w:p>
    <w:p w:rsidR="00B365D5" w:rsidRDefault="0061000D">
      <w:pPr>
        <w:adjustRightInd w:val="0"/>
        <w:snapToGrid w:val="0"/>
        <w:spacing w:line="500" w:lineRule="exact"/>
        <w:ind w:firstLineChars="200" w:firstLine="562"/>
        <w:outlineLvl w:val="0"/>
        <w:rPr>
          <w:rFonts w:ascii="楷体" w:eastAsia="楷体" w:hAnsi="楷体" w:cs="楷体"/>
          <w:b/>
          <w:bCs/>
          <w:sz w:val="28"/>
          <w:szCs w:val="28"/>
          <w:lang w:bidi="ar"/>
        </w:rPr>
      </w:pPr>
      <w:r>
        <w:rPr>
          <w:rFonts w:ascii="楷体" w:eastAsia="楷体" w:hAnsi="楷体" w:cs="楷体" w:hint="eastAsia"/>
          <w:b/>
          <w:bCs/>
          <w:sz w:val="28"/>
          <w:szCs w:val="28"/>
          <w:lang w:bidi="ar"/>
        </w:rPr>
        <w:t>2</w:t>
      </w:r>
      <w:r>
        <w:rPr>
          <w:rFonts w:ascii="楷体" w:eastAsia="楷体" w:hAnsi="楷体" w:cs="楷体" w:hint="eastAsia"/>
          <w:b/>
          <w:bCs/>
          <w:sz w:val="28"/>
          <w:szCs w:val="28"/>
          <w:lang w:bidi="ar"/>
        </w:rPr>
        <w:t>.</w:t>
      </w:r>
      <w:r>
        <w:rPr>
          <w:rFonts w:ascii="楷体" w:eastAsia="楷体" w:hAnsi="楷体" w:cs="楷体" w:hint="eastAsia"/>
          <w:b/>
          <w:bCs/>
          <w:sz w:val="28"/>
          <w:szCs w:val="28"/>
          <w:lang w:bidi="ar"/>
        </w:rPr>
        <w:t>鼓励疫情信息披露“吹哨人”保护条款</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李文亮事件教训深刻。其早期在有限范围内公布疫情，被介于《刑法》和《治安管理处罚条例》之间加以</w:t>
      </w:r>
      <w:r>
        <w:rPr>
          <w:rFonts w:ascii="楷体" w:eastAsia="楷体" w:hAnsi="楷体" w:cs="楷体" w:hint="eastAsia"/>
          <w:sz w:val="28"/>
          <w:szCs w:val="28"/>
          <w:lang w:bidi="ar"/>
        </w:rPr>
        <w:t>“</w:t>
      </w:r>
      <w:r>
        <w:rPr>
          <w:rFonts w:ascii="楷体" w:eastAsia="楷体" w:hAnsi="楷体" w:cs="楷体" w:hint="eastAsia"/>
          <w:sz w:val="28"/>
          <w:szCs w:val="28"/>
          <w:lang w:bidi="ar"/>
        </w:rPr>
        <w:t>在互联网上发表不实言论</w:t>
      </w:r>
      <w:r>
        <w:rPr>
          <w:rFonts w:ascii="楷体" w:eastAsia="楷体" w:hAnsi="楷体" w:cs="楷体" w:hint="eastAsia"/>
          <w:sz w:val="28"/>
          <w:szCs w:val="28"/>
          <w:lang w:bidi="ar"/>
        </w:rPr>
        <w:t>”被公安部门</w:t>
      </w:r>
      <w:r>
        <w:rPr>
          <w:rFonts w:ascii="楷体" w:eastAsia="楷体" w:hAnsi="楷体" w:cs="楷体" w:hint="eastAsia"/>
          <w:sz w:val="28"/>
          <w:szCs w:val="28"/>
          <w:lang w:bidi="ar"/>
        </w:rPr>
        <w:t>“训诫”。这一事件在其逝后的反响如此之大，折射的是在政府未公布真相之前，所谓“谣言”屈服于强权的真实写照。在重大突发公共卫生事件中，</w:t>
      </w:r>
      <w:r>
        <w:rPr>
          <w:rFonts w:ascii="楷体" w:eastAsia="楷体" w:hAnsi="楷体" w:cs="楷体" w:hint="eastAsia"/>
          <w:sz w:val="28"/>
          <w:szCs w:val="28"/>
          <w:lang w:bidi="ar"/>
        </w:rPr>
        <w:t>公众关心聚焦于</w:t>
      </w:r>
      <w:r>
        <w:rPr>
          <w:rFonts w:ascii="楷体" w:eastAsia="楷体" w:hAnsi="楷体" w:cs="楷体" w:hint="eastAsia"/>
          <w:sz w:val="28"/>
          <w:szCs w:val="28"/>
          <w:lang w:bidi="ar"/>
        </w:rPr>
        <w:t>：病毒</w:t>
      </w:r>
      <w:r>
        <w:rPr>
          <w:rFonts w:ascii="楷体" w:eastAsia="楷体" w:hAnsi="楷体" w:cs="楷体" w:hint="eastAsia"/>
          <w:sz w:val="28"/>
          <w:szCs w:val="28"/>
          <w:lang w:bidi="ar"/>
        </w:rPr>
        <w:t>来源？</w:t>
      </w:r>
      <w:r>
        <w:rPr>
          <w:rFonts w:ascii="楷体" w:eastAsia="楷体" w:hAnsi="楷体" w:cs="楷体" w:hint="eastAsia"/>
          <w:sz w:val="28"/>
          <w:szCs w:val="28"/>
          <w:lang w:bidi="ar"/>
        </w:rPr>
        <w:t>如何预防？怎样控制？能否治愈？</w:t>
      </w:r>
      <w:r>
        <w:rPr>
          <w:rFonts w:ascii="楷体" w:eastAsia="楷体" w:hAnsi="楷体" w:cs="楷体" w:hint="eastAsia"/>
          <w:sz w:val="28"/>
          <w:szCs w:val="28"/>
          <w:lang w:bidi="ar"/>
        </w:rPr>
        <w:t>如何上述诘问得不到权威渠道回复的背景下谣言往往不胫而走。所谓谣言是指一种未经证实的，或没有明确事实依据，公众在段时间之内难以区分其真伪的社会舆论或传闻。</w:t>
      </w:r>
      <w:r>
        <w:rPr>
          <w:rFonts w:ascii="楷体" w:eastAsia="楷体" w:hAnsi="楷体" w:cs="楷体" w:hint="eastAsia"/>
          <w:sz w:val="28"/>
          <w:szCs w:val="28"/>
          <w:lang w:bidi="ar"/>
        </w:rPr>
        <w:t>从传播学</w:t>
      </w:r>
      <w:r>
        <w:rPr>
          <w:rFonts w:ascii="楷体" w:eastAsia="楷体" w:hAnsi="楷体" w:cs="楷体" w:hint="eastAsia"/>
          <w:sz w:val="28"/>
          <w:szCs w:val="28"/>
          <w:lang w:bidi="ar"/>
        </w:rPr>
        <w:t>功能</w:t>
      </w:r>
      <w:r>
        <w:rPr>
          <w:rFonts w:ascii="楷体" w:eastAsia="楷体" w:hAnsi="楷体" w:cs="楷体" w:hint="eastAsia"/>
          <w:sz w:val="28"/>
          <w:szCs w:val="28"/>
          <w:lang w:bidi="ar"/>
        </w:rPr>
        <w:t>角度而言，谣言的存在是对公众知情权的一种补充，在“摆事实、讲道理”的逻辑下提供另类信息从而对主流渠道信息的一种对立，迫使权威主流渠道加以关注并加以说明澄</w:t>
      </w:r>
      <w:r>
        <w:rPr>
          <w:rFonts w:ascii="楷体" w:eastAsia="楷体" w:hAnsi="楷体" w:cs="楷体" w:hint="eastAsia"/>
          <w:sz w:val="28"/>
          <w:szCs w:val="28"/>
          <w:lang w:bidi="ar"/>
        </w:rPr>
        <w:t>清，促使政府和公众之间的互动交流更为频繁和紧密。</w:t>
      </w:r>
      <w:r>
        <w:rPr>
          <w:rFonts w:ascii="楷体" w:eastAsia="楷体" w:hAnsi="楷体" w:cs="楷体" w:hint="eastAsia"/>
          <w:sz w:val="28"/>
          <w:szCs w:val="28"/>
          <w:lang w:bidi="ar"/>
        </w:rPr>
        <w:t>“一个健康的社会不应该只有一种声音”</w:t>
      </w:r>
      <w:r>
        <w:rPr>
          <w:rFonts w:ascii="楷体" w:eastAsia="楷体" w:hAnsi="楷体" w:cs="楷体" w:hint="eastAsia"/>
          <w:sz w:val="28"/>
          <w:szCs w:val="28"/>
          <w:lang w:bidi="ar"/>
        </w:rPr>
        <w:t>，</w:t>
      </w:r>
      <w:r>
        <w:rPr>
          <w:rFonts w:ascii="楷体" w:eastAsia="楷体" w:hAnsi="楷体" w:cs="楷体" w:hint="eastAsia"/>
          <w:sz w:val="28"/>
          <w:szCs w:val="28"/>
          <w:lang w:bidi="ar"/>
        </w:rPr>
        <w:t>毕竟一旦连温和的批评也不被允许，沉默将被认为居心叵测。在全社会共识还未形成默契之前，抑或具有公信力的权威信息迟迟不出来，</w:t>
      </w:r>
      <w:r>
        <w:rPr>
          <w:rFonts w:ascii="楷体" w:eastAsia="楷体" w:hAnsi="楷体" w:cs="楷体" w:hint="eastAsia"/>
          <w:sz w:val="28"/>
          <w:szCs w:val="28"/>
          <w:lang w:bidi="ar"/>
        </w:rPr>
        <w:lastRenderedPageBreak/>
        <w:t>谣言并不等于谎言，它反而有利于倒逼真相公开。</w:t>
      </w:r>
      <w:r>
        <w:rPr>
          <w:rFonts w:ascii="楷体" w:eastAsia="楷体" w:hAnsi="楷体" w:cs="楷体" w:hint="eastAsia"/>
          <w:sz w:val="28"/>
          <w:szCs w:val="28"/>
          <w:lang w:bidi="ar"/>
        </w:rPr>
        <w:t>据此，李文亮医生被国人称之为“吹哨人”。“吹哨人”即内部举报人。“吹哨人”制度起源自英国警察发现有罪案发生时会吹哨子的动作，以引起同僚以及民众的注意。</w:t>
      </w:r>
      <w:r>
        <w:rPr>
          <w:rFonts w:ascii="楷体" w:eastAsia="楷体" w:hAnsi="楷体" w:cs="楷体" w:hint="eastAsia"/>
          <w:sz w:val="28"/>
          <w:szCs w:val="28"/>
          <w:lang w:bidi="ar"/>
        </w:rPr>
        <w:t>随着各行各业的实践发展，</w:t>
      </w:r>
      <w:r>
        <w:rPr>
          <w:rFonts w:ascii="楷体" w:eastAsia="楷体" w:hAnsi="楷体" w:cs="楷体" w:hint="eastAsia"/>
          <w:sz w:val="28"/>
          <w:szCs w:val="28"/>
          <w:lang w:bidi="ar"/>
        </w:rPr>
        <w:t>“吹哨人”制度从单一的违法犯罪提醒逐步向更为宽泛领域拓展，用以提醒社会公众对潜在</w:t>
      </w:r>
      <w:r>
        <w:rPr>
          <w:rFonts w:ascii="楷体" w:eastAsia="楷体" w:hAnsi="楷体" w:cs="楷体" w:hint="eastAsia"/>
          <w:sz w:val="28"/>
          <w:szCs w:val="28"/>
          <w:lang w:bidi="ar"/>
        </w:rPr>
        <w:t>风险的关注，对所属机构所属行业的违法违规行为的检举揭发行为。</w:t>
      </w:r>
      <w:r>
        <w:rPr>
          <w:rFonts w:ascii="楷体" w:eastAsia="楷体" w:hAnsi="楷体" w:cs="楷体" w:hint="eastAsia"/>
          <w:sz w:val="28"/>
          <w:szCs w:val="28"/>
          <w:lang w:bidi="ar"/>
        </w:rPr>
        <w:t>根据最高法院的微公号意见，执法机关面对虚假信息，应充分考虑信息发布者和传播者的主观恶意和是否发生严重后果，保持必要的宽容，而不是削弱法律正义和政府公信的一律打击。</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hint="eastAsia"/>
          <w:sz w:val="28"/>
          <w:szCs w:val="28"/>
          <w:lang w:bidi="ar"/>
        </w:rPr>
        <w:t>我国其实早就在探索和建立“吹哨人”的法律保护制度。</w:t>
      </w:r>
      <w:r>
        <w:rPr>
          <w:rFonts w:ascii="楷体" w:eastAsia="楷体" w:hAnsi="楷体" w:cs="楷体" w:hint="eastAsia"/>
          <w:sz w:val="28"/>
          <w:szCs w:val="28"/>
          <w:lang w:bidi="ar"/>
        </w:rPr>
        <w:t>在《宪法》层面已经正面回应国家权力机关对于来自公民的举报行为的处理机制；</w:t>
      </w:r>
      <w:r>
        <w:rPr>
          <w:rFonts w:ascii="楷体" w:eastAsia="楷体" w:hAnsi="楷体" w:cs="楷体" w:hint="eastAsia"/>
          <w:sz w:val="28"/>
          <w:szCs w:val="28"/>
          <w:lang w:bidi="ar"/>
        </w:rPr>
        <w:t>在专门性司法解释性文件层面，相继出台了</w:t>
      </w:r>
      <w:r>
        <w:rPr>
          <w:rFonts w:ascii="楷体" w:eastAsia="楷体" w:hAnsi="楷体" w:cs="楷体" w:hint="eastAsia"/>
          <w:sz w:val="28"/>
          <w:szCs w:val="28"/>
          <w:lang w:bidi="ar"/>
        </w:rPr>
        <w:t>保护举报人</w:t>
      </w:r>
      <w:r>
        <w:rPr>
          <w:rFonts w:ascii="楷体" w:eastAsia="楷体" w:hAnsi="楷体" w:cs="楷体" w:hint="eastAsia"/>
          <w:sz w:val="28"/>
          <w:szCs w:val="28"/>
          <w:lang w:bidi="ar"/>
        </w:rPr>
        <w:t>的制度化设计规范</w:t>
      </w:r>
      <w:r>
        <w:rPr>
          <w:rFonts w:ascii="楷体" w:eastAsia="楷体" w:hAnsi="楷体" w:cs="楷体" w:hint="eastAsia"/>
          <w:sz w:val="28"/>
          <w:szCs w:val="28"/>
          <w:lang w:bidi="ar"/>
        </w:rPr>
        <w:t>；在地方行业监管层面，符合行业特色的举报奖励办法也相继出台。</w:t>
      </w:r>
      <w:r>
        <w:rPr>
          <w:rFonts w:ascii="楷体" w:eastAsia="楷体" w:hAnsi="楷体" w:cs="楷体" w:hint="eastAsia"/>
          <w:sz w:val="28"/>
          <w:szCs w:val="28"/>
          <w:lang w:bidi="ar"/>
        </w:rPr>
        <w:t>我国于</w:t>
      </w:r>
      <w:r>
        <w:rPr>
          <w:rFonts w:ascii="楷体" w:eastAsia="楷体" w:hAnsi="楷体" w:cs="楷体" w:hint="eastAsia"/>
          <w:sz w:val="28"/>
          <w:szCs w:val="28"/>
          <w:lang w:bidi="ar"/>
        </w:rPr>
        <w:t>2019</w:t>
      </w:r>
      <w:r>
        <w:rPr>
          <w:rFonts w:ascii="楷体" w:eastAsia="楷体" w:hAnsi="楷体" w:cs="楷体" w:hint="eastAsia"/>
          <w:sz w:val="28"/>
          <w:szCs w:val="28"/>
          <w:lang w:bidi="ar"/>
        </w:rPr>
        <w:t>年</w:t>
      </w:r>
      <w:r>
        <w:rPr>
          <w:rFonts w:ascii="楷体" w:eastAsia="楷体" w:hAnsi="楷体" w:cs="楷体" w:hint="eastAsia"/>
          <w:sz w:val="28"/>
          <w:szCs w:val="28"/>
          <w:lang w:bidi="ar"/>
        </w:rPr>
        <w:t>9</w:t>
      </w:r>
      <w:r>
        <w:rPr>
          <w:rFonts w:ascii="楷体" w:eastAsia="楷体" w:hAnsi="楷体" w:cs="楷体" w:hint="eastAsia"/>
          <w:sz w:val="28"/>
          <w:szCs w:val="28"/>
          <w:lang w:bidi="ar"/>
        </w:rPr>
        <w:t>月在《国务院关于加强和规范事中事后监督的指导意见》中，首次明确提出建立“吹哨人”制度，</w:t>
      </w:r>
      <w:r>
        <w:rPr>
          <w:rFonts w:ascii="楷体" w:eastAsia="楷体" w:hAnsi="楷体" w:cs="楷体" w:hint="eastAsia"/>
          <w:sz w:val="28"/>
          <w:szCs w:val="28"/>
          <w:lang w:bidi="ar"/>
        </w:rPr>
        <w:t>但是该制度已然存在于理念范畴，对于如何保障</w:t>
      </w:r>
      <w:r>
        <w:rPr>
          <w:rFonts w:ascii="楷体" w:eastAsia="楷体" w:hAnsi="楷体" w:cs="楷体" w:hint="eastAsia"/>
          <w:sz w:val="28"/>
          <w:szCs w:val="28"/>
          <w:lang w:bidi="ar"/>
        </w:rPr>
        <w:t>“吹哨人”</w:t>
      </w:r>
      <w:r>
        <w:rPr>
          <w:rFonts w:ascii="楷体" w:eastAsia="楷体" w:hAnsi="楷体" w:cs="楷体" w:hint="eastAsia"/>
          <w:sz w:val="28"/>
          <w:szCs w:val="28"/>
          <w:lang w:bidi="ar"/>
        </w:rPr>
        <w:t>的合法权益的实践构建还不健全，对于程序设计、适用领域、奖励保障仍需要制度性规范加以固化。</w:t>
      </w:r>
      <w:r>
        <w:rPr>
          <w:rFonts w:ascii="楷体" w:eastAsia="楷体" w:hAnsi="楷体" w:cs="楷体" w:hint="eastAsia"/>
          <w:sz w:val="28"/>
          <w:szCs w:val="28"/>
          <w:lang w:bidi="ar"/>
        </w:rPr>
        <w:t>建议在法定强制的信披之外，鼓励和宽容非法定信披义务主体之外的自愿性信披，毕竟疫情没有实际发生而被“谣言”错报发生的潜在危害，远远小于疫情实际发生而被隐瞒的潜在危害。</w:t>
      </w:r>
      <w:r>
        <w:rPr>
          <w:rFonts w:ascii="楷体" w:eastAsia="楷体" w:hAnsi="楷体" w:cs="楷体" w:hint="eastAsia"/>
          <w:sz w:val="28"/>
          <w:szCs w:val="28"/>
          <w:lang w:bidi="ar"/>
        </w:rPr>
        <w:t>对此，应</w:t>
      </w:r>
      <w:r>
        <w:rPr>
          <w:rFonts w:ascii="楷体" w:eastAsia="楷体" w:hAnsi="楷体" w:cs="楷体" w:hint="eastAsia"/>
          <w:sz w:val="28"/>
          <w:szCs w:val="28"/>
          <w:lang w:bidi="ar"/>
        </w:rPr>
        <w:t>构建“吹哨人”</w:t>
      </w:r>
      <w:r>
        <w:rPr>
          <w:rFonts w:ascii="楷体" w:eastAsia="楷体" w:hAnsi="楷体" w:cs="楷体" w:hint="eastAsia"/>
          <w:sz w:val="28"/>
          <w:szCs w:val="28"/>
          <w:lang w:bidi="ar"/>
        </w:rPr>
        <w:t>的</w:t>
      </w:r>
      <w:r>
        <w:rPr>
          <w:rFonts w:ascii="楷体" w:eastAsia="楷体" w:hAnsi="楷体" w:cs="楷体" w:hint="eastAsia"/>
          <w:sz w:val="28"/>
          <w:szCs w:val="28"/>
          <w:lang w:bidi="ar"/>
        </w:rPr>
        <w:t>制度</w:t>
      </w:r>
      <w:r>
        <w:rPr>
          <w:rFonts w:ascii="楷体" w:eastAsia="楷体" w:hAnsi="楷体" w:cs="楷体" w:hint="eastAsia"/>
          <w:sz w:val="28"/>
          <w:szCs w:val="28"/>
          <w:lang w:bidi="ar"/>
        </w:rPr>
        <w:t>设计，在</w:t>
      </w:r>
      <w:r>
        <w:rPr>
          <w:rFonts w:ascii="楷体" w:eastAsia="楷体" w:hAnsi="楷体" w:cs="楷体" w:hint="eastAsia"/>
          <w:sz w:val="28"/>
          <w:szCs w:val="28"/>
          <w:lang w:bidi="ar"/>
        </w:rPr>
        <w:t>适用领域、适用范围、程序措施、救济保障、奖励机制等方面构建具有我国特色的“吹哨人”保护制度。</w:t>
      </w:r>
    </w:p>
    <w:p w:rsidR="00B365D5" w:rsidRDefault="0061000D">
      <w:pPr>
        <w:adjustRightInd w:val="0"/>
        <w:snapToGrid w:val="0"/>
        <w:spacing w:line="500" w:lineRule="exact"/>
        <w:ind w:firstLineChars="200" w:firstLine="560"/>
        <w:outlineLvl w:val="0"/>
        <w:rPr>
          <w:rFonts w:ascii="黑体" w:eastAsia="黑体" w:hAnsi="黑体" w:cs="黑体"/>
          <w:sz w:val="28"/>
          <w:szCs w:val="28"/>
          <w:lang w:bidi="ar"/>
        </w:rPr>
      </w:pPr>
      <w:r>
        <w:rPr>
          <w:rFonts w:ascii="黑体" w:eastAsia="黑体" w:hAnsi="黑体" w:cs="黑体" w:hint="eastAsia"/>
          <w:sz w:val="28"/>
          <w:szCs w:val="28"/>
          <w:lang w:bidi="ar"/>
        </w:rPr>
        <w:t>四、</w:t>
      </w:r>
      <w:r>
        <w:rPr>
          <w:rFonts w:ascii="楷体" w:eastAsia="楷体" w:hAnsi="楷体" w:cs="楷体" w:hint="eastAsia"/>
          <w:b/>
          <w:bCs/>
          <w:sz w:val="28"/>
          <w:szCs w:val="28"/>
          <w:lang w:bidi="ar"/>
        </w:rPr>
        <w:t>构建科学行政问责体系保障信息公开平稳有序</w:t>
      </w:r>
    </w:p>
    <w:p w:rsidR="00B365D5" w:rsidRDefault="0061000D">
      <w:pPr>
        <w:adjustRightInd w:val="0"/>
        <w:snapToGrid w:val="0"/>
        <w:spacing w:line="500" w:lineRule="exact"/>
        <w:ind w:firstLineChars="200" w:firstLine="560"/>
        <w:outlineLvl w:val="0"/>
        <w:rPr>
          <w:rFonts w:ascii="楷体" w:eastAsia="楷体" w:hAnsi="楷体" w:cs="楷体"/>
          <w:sz w:val="28"/>
          <w:szCs w:val="28"/>
          <w:lang w:bidi="ar"/>
        </w:rPr>
      </w:pPr>
      <w:r>
        <w:rPr>
          <w:rFonts w:ascii="楷体" w:eastAsia="楷体" w:hAnsi="楷体" w:cs="楷体"/>
          <w:color w:val="000000"/>
          <w:sz w:val="28"/>
          <w:szCs w:val="28"/>
        </w:rPr>
        <w:t>在国际国内形势发生深刻变化、新老矛盾交织、周期性和结构性问题叠加的当下，风险本身更具复杂性、多样性、突变性和不确定性，</w:t>
      </w:r>
      <w:r>
        <w:rPr>
          <w:rFonts w:ascii="楷体" w:eastAsia="楷体" w:hAnsi="楷体" w:cs="楷体" w:hint="eastAsia"/>
          <w:color w:val="000000"/>
          <w:sz w:val="28"/>
          <w:szCs w:val="28"/>
        </w:rPr>
        <w:t>对此要进一步健全依法防控体系、强化依法防控措施、提升依法防控能力，为疫情防控工作提供有力法治保障。通过梳理武汉市政府和卫</w:t>
      </w:r>
      <w:r>
        <w:rPr>
          <w:rFonts w:ascii="楷体" w:eastAsia="楷体" w:hAnsi="楷体" w:cs="楷体" w:hint="eastAsia"/>
          <w:color w:val="000000"/>
          <w:sz w:val="28"/>
          <w:szCs w:val="28"/>
        </w:rPr>
        <w:lastRenderedPageBreak/>
        <w:t>生行政部门在疫情之中的应对之策，基于种种考虑，各方并没有对本次疫情的危害性引起足够的重视，或者已经重视了，但在既有日显惰性、迟滞、失灵</w:t>
      </w:r>
      <w:r>
        <w:rPr>
          <w:rFonts w:ascii="楷体" w:eastAsia="楷体" w:hAnsi="楷体" w:cs="楷体" w:hint="eastAsia"/>
          <w:color w:val="000000"/>
          <w:sz w:val="28"/>
          <w:szCs w:val="28"/>
        </w:rPr>
        <w:t>的公共卫生应急管理体系桎梏下决策误判，丧失了启动有效防控措施的窗口期。在此之后，乃至于中央有了明确指示之后，这一决策风格也并未发生明显改变，直至陷入出现顾此失彼、疲于应付，甚至于陷入混乱的境地。</w:t>
      </w:r>
    </w:p>
    <w:p w:rsidR="00B365D5" w:rsidRDefault="0061000D">
      <w:pPr>
        <w:adjustRightInd w:val="0"/>
        <w:snapToGrid w:val="0"/>
        <w:spacing w:line="500" w:lineRule="exact"/>
        <w:ind w:firstLineChars="200" w:firstLine="560"/>
        <w:outlineLvl w:val="0"/>
        <w:rPr>
          <w:rFonts w:ascii="宋体" w:hAnsi="宋体"/>
          <w:b/>
          <w:sz w:val="32"/>
          <w:szCs w:val="32"/>
        </w:rPr>
      </w:pPr>
      <w:r>
        <w:rPr>
          <w:rFonts w:ascii="楷体" w:eastAsia="楷体" w:hAnsi="楷体" w:cs="楷体" w:hint="eastAsia"/>
          <w:color w:val="000000"/>
          <w:sz w:val="28"/>
          <w:szCs w:val="28"/>
        </w:rPr>
        <w:t>我们认为，</w:t>
      </w:r>
      <w:r>
        <w:rPr>
          <w:rFonts w:ascii="楷体" w:eastAsia="楷体" w:hAnsi="楷体" w:cs="楷体"/>
          <w:color w:val="000000"/>
          <w:sz w:val="28"/>
          <w:szCs w:val="28"/>
        </w:rPr>
        <w:t>“</w:t>
      </w:r>
      <w:r>
        <w:rPr>
          <w:rFonts w:ascii="楷体" w:eastAsia="楷体" w:hAnsi="楷体" w:cs="楷体"/>
          <w:color w:val="000000"/>
          <w:sz w:val="28"/>
          <w:szCs w:val="28"/>
        </w:rPr>
        <w:t>小概率事件</w:t>
      </w:r>
      <w:r>
        <w:rPr>
          <w:rFonts w:ascii="楷体" w:eastAsia="楷体" w:hAnsi="楷体" w:cs="楷体"/>
          <w:color w:val="000000"/>
          <w:sz w:val="28"/>
          <w:szCs w:val="28"/>
        </w:rPr>
        <w:t>”</w:t>
      </w:r>
      <w:r>
        <w:rPr>
          <w:rFonts w:ascii="楷体" w:eastAsia="楷体" w:hAnsi="楷体" w:cs="楷体"/>
          <w:color w:val="000000"/>
          <w:sz w:val="28"/>
          <w:szCs w:val="28"/>
        </w:rPr>
        <w:t>不是</w:t>
      </w:r>
      <w:r>
        <w:rPr>
          <w:rFonts w:ascii="楷体" w:eastAsia="楷体" w:hAnsi="楷体" w:cs="楷体"/>
          <w:color w:val="000000"/>
          <w:sz w:val="28"/>
          <w:szCs w:val="28"/>
        </w:rPr>
        <w:t>“</w:t>
      </w:r>
      <w:r>
        <w:rPr>
          <w:rFonts w:ascii="楷体" w:eastAsia="楷体" w:hAnsi="楷体" w:cs="楷体"/>
          <w:color w:val="000000"/>
          <w:sz w:val="28"/>
          <w:szCs w:val="28"/>
        </w:rPr>
        <w:t>零概率事件</w:t>
      </w:r>
      <w:r>
        <w:rPr>
          <w:rFonts w:ascii="楷体" w:eastAsia="楷体" w:hAnsi="楷体" w:cs="楷体"/>
          <w:color w:val="000000"/>
          <w:sz w:val="28"/>
          <w:szCs w:val="28"/>
        </w:rPr>
        <w:t>”</w:t>
      </w:r>
      <w:r>
        <w:rPr>
          <w:rFonts w:ascii="楷体" w:eastAsia="楷体" w:hAnsi="楷体" w:cs="楷体"/>
          <w:color w:val="000000"/>
          <w:sz w:val="28"/>
          <w:szCs w:val="28"/>
        </w:rPr>
        <w:t>。事实上，不管可能性多么微小，只要样本量足够大，理论上来讲</w:t>
      </w:r>
      <w:r>
        <w:rPr>
          <w:rFonts w:ascii="楷体" w:eastAsia="楷体" w:hAnsi="楷体" w:cs="楷体"/>
          <w:color w:val="000000"/>
          <w:sz w:val="28"/>
          <w:szCs w:val="28"/>
        </w:rPr>
        <w:t>“</w:t>
      </w:r>
      <w:r>
        <w:rPr>
          <w:rFonts w:ascii="楷体" w:eastAsia="楷体" w:hAnsi="楷体" w:cs="楷体"/>
          <w:color w:val="000000"/>
          <w:sz w:val="28"/>
          <w:szCs w:val="28"/>
        </w:rPr>
        <w:t>小概率事件</w:t>
      </w:r>
      <w:r>
        <w:rPr>
          <w:rFonts w:ascii="楷体" w:eastAsia="楷体" w:hAnsi="楷体" w:cs="楷体"/>
          <w:color w:val="000000"/>
          <w:sz w:val="28"/>
          <w:szCs w:val="28"/>
        </w:rPr>
        <w:t>”</w:t>
      </w:r>
      <w:r>
        <w:rPr>
          <w:rFonts w:ascii="楷体" w:eastAsia="楷体" w:hAnsi="楷体" w:cs="楷体"/>
          <w:color w:val="000000"/>
          <w:sz w:val="28"/>
          <w:szCs w:val="28"/>
        </w:rPr>
        <w:t>必然会发生。</w:t>
      </w:r>
      <w:r>
        <w:rPr>
          <w:rFonts w:ascii="楷体" w:eastAsia="楷体" w:hAnsi="楷体" w:cs="楷体" w:hint="eastAsia"/>
          <w:sz w:val="28"/>
          <w:szCs w:val="28"/>
          <w:lang w:bidi="ar"/>
        </w:rPr>
        <w:t>由此可见，尽管在疫情早期阶段，我们对病毒的传播途径、危害后果、防控举措不甚了解，这或许可以称之为“未知的未知”事件，但随着研究持续深入和多轮筛查，我们对疫情信息的了解更为充分，对此可以并应当采取一些预防性的举措来降低潜在的风险，尤其是我们有非典经历，面对类似的冠状病毒，以及</w:t>
      </w:r>
      <w:r>
        <w:rPr>
          <w:rFonts w:eastAsia="楷体"/>
          <w:sz w:val="28"/>
          <w:szCs w:val="28"/>
          <w:lang w:bidi="ar"/>
        </w:rPr>
        <w:t>比</w:t>
      </w:r>
      <w:r>
        <w:rPr>
          <w:rFonts w:eastAsia="楷体"/>
          <w:sz w:val="28"/>
          <w:szCs w:val="28"/>
          <w:lang w:bidi="ar"/>
        </w:rPr>
        <w:t>2003</w:t>
      </w:r>
      <w:r>
        <w:rPr>
          <w:rFonts w:eastAsia="楷体"/>
          <w:sz w:val="28"/>
          <w:szCs w:val="28"/>
          <w:lang w:bidi="ar"/>
        </w:rPr>
        <w:t>年</w:t>
      </w:r>
      <w:r>
        <w:rPr>
          <w:rFonts w:ascii="楷体" w:eastAsia="楷体" w:hAnsi="楷体" w:cs="楷体" w:hint="eastAsia"/>
          <w:sz w:val="28"/>
          <w:szCs w:val="28"/>
          <w:lang w:bidi="ar"/>
        </w:rPr>
        <w:t>更为发达的公共卫生预防体系，本次疫情“未知的未知”系数在经过初期的手足无措之后，我们完全有理由做得更好，但非常可惜，我们没有把握好这个机会，实在令人扼腕。对此，有学者认为，这次新型肺炎蔓延造成的后果究其本质倒不是概率错觉，而是</w:t>
      </w:r>
      <w:r>
        <w:rPr>
          <w:rFonts w:ascii="楷体" w:eastAsia="楷体" w:hAnsi="楷体" w:cs="楷体" w:hint="eastAsia"/>
          <w:sz w:val="28"/>
          <w:szCs w:val="28"/>
          <w:lang w:bidi="ar"/>
        </w:rPr>
        <w:t>个别职能部门在风险管理方面的系统性多重错误。</w:t>
      </w:r>
      <w:r>
        <w:rPr>
          <w:rFonts w:ascii="楷体" w:eastAsia="楷体" w:hAnsi="楷体" w:cs="楷体" w:hint="eastAsia"/>
          <w:sz w:val="28"/>
          <w:szCs w:val="28"/>
          <w:lang w:bidi="ar"/>
        </w:rPr>
        <w:t>尤其是在专家早已确认病毒的性质和结构、有条件及时采取防控举措的情况下，有关决策者白白流失把危机消灭在萌芽状态的良机，让人觉得特别难以容忍。</w:t>
      </w:r>
      <w:r>
        <w:rPr>
          <w:rFonts w:ascii="楷体" w:eastAsia="楷体" w:hAnsi="楷体" w:cs="楷体" w:hint="eastAsia"/>
          <w:color w:val="000000"/>
          <w:sz w:val="28"/>
          <w:szCs w:val="28"/>
        </w:rPr>
        <w:t>正是官僚主义导致组织性行为和决策的严重混乱，失去了初期控制疫情风险的主动权，从而导致全国各级政府全方位的严峻考验。非常遗憾的是，在亟需依法问责的时候，我们却发现又不得不面对一个无人负责的怪圈。“雪崩的时候，没有一片雪花是无辜的！”</w:t>
      </w:r>
      <w:r>
        <w:rPr>
          <w:rFonts w:ascii="楷体" w:eastAsia="楷体" w:hAnsi="楷体" w:cs="楷体" w:hint="eastAsia"/>
          <w:sz w:val="28"/>
          <w:szCs w:val="28"/>
        </w:rPr>
        <w:t>对此，必须加大突发公共事件中政府信息公开的问责力度，避免行政问责的“漏问”、“错问”、“偏问</w:t>
      </w:r>
      <w:r>
        <w:rPr>
          <w:rFonts w:ascii="楷体" w:eastAsia="楷体" w:hAnsi="楷体" w:cs="楷体" w:hint="eastAsia"/>
          <w:sz w:val="28"/>
          <w:szCs w:val="28"/>
        </w:rPr>
        <w:t>”、“重问”、“轻问”等现象，保障公民的知情权，提高政府应急管理能力，树立政府诚信透明的良好形象。</w:t>
      </w:r>
    </w:p>
    <w:p w:rsidR="00B365D5" w:rsidRDefault="0061000D">
      <w:pPr>
        <w:adjustRightInd w:val="0"/>
        <w:snapToGrid w:val="0"/>
        <w:spacing w:line="500" w:lineRule="exact"/>
        <w:ind w:firstLineChars="200" w:firstLine="562"/>
        <w:outlineLvl w:val="0"/>
        <w:rPr>
          <w:rFonts w:ascii="楷体" w:eastAsia="楷体" w:hAnsi="楷体" w:cs="楷体"/>
          <w:sz w:val="28"/>
          <w:szCs w:val="28"/>
          <w:lang w:bidi="ar"/>
        </w:rPr>
      </w:pPr>
      <w:r>
        <w:rPr>
          <w:rFonts w:ascii="楷体" w:eastAsia="楷体" w:hAnsi="楷体" w:cs="楷体" w:hint="eastAsia"/>
          <w:b/>
          <w:bCs/>
          <w:sz w:val="28"/>
          <w:szCs w:val="28"/>
          <w:lang w:bidi="ar"/>
        </w:rPr>
        <w:lastRenderedPageBreak/>
        <w:t>1.</w:t>
      </w:r>
      <w:r>
        <w:rPr>
          <w:rFonts w:ascii="楷体" w:eastAsia="楷体" w:hAnsi="楷体" w:cs="楷体" w:hint="eastAsia"/>
          <w:b/>
          <w:bCs/>
          <w:sz w:val="28"/>
          <w:szCs w:val="28"/>
          <w:lang w:bidi="ar"/>
        </w:rPr>
        <w:t>加强研究国内外信披的主要类型和样本对标</w:t>
      </w:r>
      <w:r>
        <w:rPr>
          <w:rFonts w:ascii="楷体" w:eastAsia="楷体" w:hAnsi="楷体" w:cs="楷体" w:hint="eastAsia"/>
          <w:b/>
          <w:bCs/>
          <w:sz w:val="28"/>
          <w:szCs w:val="28"/>
          <w:lang w:bidi="ar"/>
        </w:rPr>
        <w:t>。</w:t>
      </w:r>
      <w:r>
        <w:rPr>
          <w:rFonts w:ascii="楷体" w:eastAsia="楷体" w:hAnsi="楷体" w:cs="楷体" w:hint="eastAsia"/>
          <w:sz w:val="28"/>
          <w:szCs w:val="28"/>
          <w:lang w:bidi="ar"/>
        </w:rPr>
        <w:t>在</w:t>
      </w:r>
      <w:r>
        <w:rPr>
          <w:rFonts w:ascii="楷体" w:eastAsia="楷体" w:hAnsi="楷体" w:cs="楷体" w:hint="eastAsia"/>
          <w:sz w:val="28"/>
          <w:szCs w:val="28"/>
          <w:lang w:bidi="ar"/>
        </w:rPr>
        <w:t>西方国家政治生活中</w:t>
      </w:r>
      <w:r>
        <w:rPr>
          <w:rFonts w:ascii="楷体" w:eastAsia="楷体" w:hAnsi="楷体" w:cs="楷体" w:hint="eastAsia"/>
          <w:sz w:val="28"/>
          <w:szCs w:val="28"/>
          <w:lang w:bidi="ar"/>
        </w:rPr>
        <w:t>，</w:t>
      </w:r>
      <w:r>
        <w:rPr>
          <w:rFonts w:ascii="楷体" w:eastAsia="楷体" w:hAnsi="楷体" w:cs="楷体" w:hint="eastAsia"/>
          <w:sz w:val="28"/>
          <w:szCs w:val="28"/>
          <w:lang w:bidi="ar"/>
        </w:rPr>
        <w:t>信息公幵与行政问责</w:t>
      </w:r>
      <w:r>
        <w:rPr>
          <w:rFonts w:ascii="楷体" w:eastAsia="楷体" w:hAnsi="楷体" w:cs="楷体" w:hint="eastAsia"/>
          <w:sz w:val="28"/>
          <w:szCs w:val="28"/>
          <w:lang w:bidi="ar"/>
        </w:rPr>
        <w:t>是相辅相成的，通过信息公开可以更有效促进行政问责，通过行政问责也可以保障信息公开的持续深入，正是基于这一内在逻辑，国外在信息披露过程中的成熟做法、完善经验和典型模式可以供我国在</w:t>
      </w:r>
      <w:r>
        <w:rPr>
          <w:rFonts w:ascii="楷体" w:eastAsia="楷体" w:hAnsi="楷体" w:cs="楷体" w:hint="eastAsia"/>
          <w:sz w:val="28"/>
          <w:szCs w:val="28"/>
          <w:lang w:bidi="ar"/>
        </w:rPr>
        <w:t>在建立、完善信息公开责任追究制度时借鉴与利用。对此可以重点考察美国、英国、法国和日本的信息公开行政问责制度构建所秉持的以“权力制约权力”、“以权利监督权力”、“以法律规范权力”的经验和做法。</w:t>
      </w:r>
    </w:p>
    <w:p w:rsidR="00B365D5" w:rsidRDefault="0061000D">
      <w:pPr>
        <w:adjustRightInd w:val="0"/>
        <w:snapToGrid w:val="0"/>
        <w:spacing w:line="500" w:lineRule="exact"/>
        <w:ind w:firstLineChars="200" w:firstLine="562"/>
        <w:outlineLvl w:val="0"/>
        <w:rPr>
          <w:rFonts w:ascii="楷体" w:eastAsia="楷体" w:hAnsi="楷体" w:cs="楷体"/>
          <w:sz w:val="28"/>
          <w:szCs w:val="28"/>
          <w:lang w:bidi="ar"/>
        </w:rPr>
      </w:pPr>
      <w:r>
        <w:rPr>
          <w:rFonts w:ascii="楷体" w:eastAsia="楷体" w:hAnsi="楷体" w:cs="楷体" w:hint="eastAsia"/>
          <w:b/>
          <w:bCs/>
          <w:sz w:val="28"/>
          <w:szCs w:val="28"/>
          <w:lang w:bidi="ar"/>
        </w:rPr>
        <w:t>2.</w:t>
      </w:r>
      <w:r>
        <w:rPr>
          <w:rFonts w:ascii="楷体" w:eastAsia="楷体" w:hAnsi="楷体" w:cs="楷体" w:hint="eastAsia"/>
          <w:b/>
          <w:bCs/>
          <w:sz w:val="28"/>
          <w:szCs w:val="28"/>
          <w:lang w:bidi="ar"/>
        </w:rPr>
        <w:t>完善信息公开结构性要素与衡量标准。</w:t>
      </w:r>
      <w:r>
        <w:rPr>
          <w:rFonts w:ascii="楷体" w:eastAsia="楷体" w:hAnsi="楷体" w:cs="楷体" w:hint="eastAsia"/>
          <w:sz w:val="28"/>
          <w:szCs w:val="28"/>
          <w:lang w:bidi="ar"/>
        </w:rPr>
        <w:t>行政问责不能只靠“风暴”，而更需要不断完善法律制度，从而实现行政问责的规范化、持续化。通过法律法规</w:t>
      </w:r>
      <w:r>
        <w:rPr>
          <w:rFonts w:ascii="楷体" w:eastAsia="楷体" w:hAnsi="楷体" w:cs="楷体" w:hint="eastAsia"/>
          <w:sz w:val="28"/>
          <w:szCs w:val="28"/>
          <w:lang w:bidi="ar"/>
        </w:rPr>
        <w:t>的方式责任落实，明确规定各官员所负责任，规定问责主体、判定官员失责的程序、失职官员当受何种处分。使问责制法律化、制度化，真正使“问责”有“制”可问、有章可循，唯此，问责制才可能是一件有意义的制度建设。</w:t>
      </w:r>
    </w:p>
    <w:p w:rsidR="00B365D5" w:rsidRDefault="0061000D">
      <w:pPr>
        <w:adjustRightInd w:val="0"/>
        <w:snapToGrid w:val="0"/>
        <w:spacing w:line="500" w:lineRule="exact"/>
        <w:ind w:firstLineChars="200" w:firstLine="562"/>
        <w:outlineLvl w:val="0"/>
        <w:rPr>
          <w:rFonts w:ascii="楷体" w:eastAsia="楷体" w:hAnsi="楷体" w:cs="楷体"/>
          <w:sz w:val="28"/>
          <w:szCs w:val="28"/>
          <w:lang w:bidi="ar"/>
        </w:rPr>
      </w:pPr>
      <w:r>
        <w:rPr>
          <w:rFonts w:ascii="楷体" w:eastAsia="楷体" w:hAnsi="楷体" w:cs="楷体" w:hint="eastAsia"/>
          <w:b/>
          <w:bCs/>
          <w:sz w:val="28"/>
          <w:szCs w:val="28"/>
          <w:lang w:bidi="ar"/>
        </w:rPr>
        <w:t>3.</w:t>
      </w:r>
      <w:r>
        <w:rPr>
          <w:rFonts w:ascii="楷体" w:eastAsia="楷体" w:hAnsi="楷体" w:cs="楷体" w:hint="eastAsia"/>
          <w:b/>
          <w:bCs/>
          <w:sz w:val="28"/>
          <w:szCs w:val="28"/>
          <w:lang w:bidi="ar"/>
        </w:rPr>
        <w:t>发挥督查式信披问责“儆戒效应”。</w:t>
      </w:r>
      <w:r>
        <w:rPr>
          <w:rFonts w:ascii="楷体" w:eastAsia="楷体" w:hAnsi="楷体" w:cs="楷体" w:hint="eastAsia"/>
          <w:sz w:val="28"/>
          <w:szCs w:val="28"/>
          <w:lang w:bidi="ar"/>
        </w:rPr>
        <w:t>问责的过程实际上就是检验行政组织内部具体的角色担当是否得到实现以及实现的程度如何，归根结底，也就是检验问责对象的行为绩效。对此可以从四个方面予以考量，一是层级责任，即不同的组织成员在官僚组织内等级位置不同，责任分配也不同；二是法律责任，即基于法律规定的义务所产生的责任；三是</w:t>
      </w:r>
      <w:r>
        <w:rPr>
          <w:rFonts w:ascii="楷体" w:eastAsia="楷体" w:hAnsi="楷体" w:cs="楷体" w:hint="eastAsia"/>
          <w:sz w:val="28"/>
          <w:szCs w:val="28"/>
          <w:lang w:bidi="ar"/>
        </w:rPr>
        <w:t>政治责任，即基于民意向背而产生的责任；四是专业责任，即基于专业标准、专业准则、行业管理规则所产生的责任。</w:t>
      </w:r>
    </w:p>
    <w:p w:rsidR="00B365D5" w:rsidRDefault="0061000D">
      <w:pPr>
        <w:adjustRightInd w:val="0"/>
        <w:snapToGrid w:val="0"/>
        <w:spacing w:line="500" w:lineRule="exact"/>
        <w:ind w:firstLineChars="200" w:firstLine="562"/>
        <w:outlineLvl w:val="0"/>
        <w:rPr>
          <w:rFonts w:ascii="楷体" w:eastAsia="楷体" w:hAnsi="楷体" w:cs="楷体"/>
          <w:sz w:val="28"/>
          <w:szCs w:val="28"/>
          <w:lang w:bidi="ar"/>
        </w:rPr>
      </w:pPr>
      <w:r>
        <w:rPr>
          <w:rFonts w:ascii="楷体" w:eastAsia="楷体" w:hAnsi="楷体" w:cs="楷体" w:hint="eastAsia"/>
          <w:b/>
          <w:bCs/>
          <w:sz w:val="28"/>
          <w:szCs w:val="28"/>
          <w:lang w:bidi="ar"/>
        </w:rPr>
        <w:t>4.</w:t>
      </w:r>
      <w:r>
        <w:rPr>
          <w:rFonts w:ascii="楷体" w:eastAsia="楷体" w:hAnsi="楷体" w:cs="楷体" w:hint="eastAsia"/>
          <w:b/>
          <w:bCs/>
          <w:sz w:val="28"/>
          <w:szCs w:val="28"/>
          <w:lang w:bidi="ar"/>
        </w:rPr>
        <w:t>发挥纪法衔接信息公开问责兜底。</w:t>
      </w:r>
      <w:r>
        <w:rPr>
          <w:rFonts w:ascii="楷体" w:eastAsia="楷体" w:hAnsi="楷体" w:cs="楷体" w:hint="eastAsia"/>
          <w:sz w:val="28"/>
          <w:szCs w:val="28"/>
          <w:lang w:bidi="ar"/>
        </w:rPr>
        <w:t>党纪与国法衔接协同是指党的纪律和国家的法律相互衔接并协同管党治党的过程或能力。</w:t>
      </w:r>
      <w:r>
        <w:rPr>
          <w:rFonts w:ascii="楷体" w:eastAsia="楷体" w:hAnsi="楷体" w:cs="楷体" w:hint="eastAsia"/>
          <w:sz w:val="28"/>
          <w:szCs w:val="28"/>
          <w:lang w:bidi="ar"/>
        </w:rPr>
        <w:t>2019</w:t>
      </w:r>
      <w:r>
        <w:rPr>
          <w:rFonts w:ascii="楷体" w:eastAsia="楷体" w:hAnsi="楷体" w:cs="楷体" w:hint="eastAsia"/>
          <w:sz w:val="28"/>
          <w:szCs w:val="28"/>
          <w:lang w:bidi="ar"/>
        </w:rPr>
        <w:t>年</w:t>
      </w:r>
      <w:r>
        <w:rPr>
          <w:rFonts w:ascii="楷体" w:eastAsia="楷体" w:hAnsi="楷体" w:cs="楷体" w:hint="eastAsia"/>
          <w:sz w:val="28"/>
          <w:szCs w:val="28"/>
          <w:lang w:bidi="ar"/>
        </w:rPr>
        <w:t>9</w:t>
      </w:r>
      <w:r>
        <w:rPr>
          <w:rFonts w:ascii="楷体" w:eastAsia="楷体" w:hAnsi="楷体" w:cs="楷体" w:hint="eastAsia"/>
          <w:sz w:val="28"/>
          <w:szCs w:val="28"/>
          <w:lang w:bidi="ar"/>
        </w:rPr>
        <w:t>月起实施的《中国共产党问责条例》标志着党和国家运用党纪、党规全面从严治党，向更深层次的“纪法衔接”“纪法共治”“反腐一体”行进，对此必须坚持纪严于法、纪在法前，实现执纪审查与依法调查顺畅对接，发挥纪法组合拳的作用的基本原则。</w:t>
      </w:r>
    </w:p>
    <w:p w:rsidR="00B365D5" w:rsidRDefault="0061000D">
      <w:pPr>
        <w:adjustRightInd w:val="0"/>
        <w:snapToGrid w:val="0"/>
        <w:spacing w:line="500" w:lineRule="exact"/>
        <w:ind w:firstLineChars="200" w:firstLine="562"/>
        <w:outlineLvl w:val="0"/>
        <w:rPr>
          <w:rFonts w:ascii="楷体" w:eastAsia="楷体" w:hAnsi="楷体" w:cs="楷体"/>
          <w:sz w:val="28"/>
          <w:szCs w:val="28"/>
          <w:lang w:bidi="ar"/>
        </w:rPr>
      </w:pPr>
      <w:r>
        <w:rPr>
          <w:rFonts w:ascii="楷体" w:eastAsia="楷体" w:hAnsi="楷体" w:cs="楷体" w:hint="eastAsia"/>
          <w:b/>
          <w:bCs/>
          <w:sz w:val="28"/>
          <w:szCs w:val="28"/>
          <w:lang w:bidi="ar"/>
        </w:rPr>
        <w:lastRenderedPageBreak/>
        <w:t>5.</w:t>
      </w:r>
      <w:r>
        <w:rPr>
          <w:rFonts w:ascii="楷体" w:eastAsia="楷体" w:hAnsi="楷体" w:cs="楷体" w:hint="eastAsia"/>
          <w:b/>
          <w:bCs/>
          <w:sz w:val="28"/>
          <w:szCs w:val="28"/>
          <w:lang w:bidi="ar"/>
        </w:rPr>
        <w:t>释放结构性信息公开行政问责容错空间。</w:t>
      </w:r>
      <w:r>
        <w:rPr>
          <w:rFonts w:ascii="楷体" w:eastAsia="楷体" w:hAnsi="楷体" w:cs="楷体" w:hint="eastAsia"/>
          <w:sz w:val="28"/>
          <w:szCs w:val="28"/>
          <w:lang w:bidi="ar"/>
        </w:rPr>
        <w:t>责任是现代政治的基本价值理念。我们在强调严格责任、规范责任的同时也要清醒地看到，人类理性的有限性与客观规律外在客观性之间存在的矛盾和冲突，对这一矛盾张力的清晰把握是我们开展理性问责、科学问责的基本理路和内在根据。一个富有韧性的治理体系和治理能力现代的政府行政运作体系必然要求构建一个科学合理的容错机制。虽然容错与问责有不同的内在逻辑理路，但它们都着眼于促进公共权力的规范运行和效能提升</w:t>
      </w:r>
      <w:r w:rsidR="00797A60">
        <w:rPr>
          <w:rFonts w:ascii="楷体" w:eastAsia="楷体" w:hAnsi="楷体" w:cs="楷体" w:hint="eastAsia"/>
          <w:sz w:val="28"/>
          <w:szCs w:val="28"/>
          <w:lang w:bidi="ar"/>
        </w:rPr>
        <w:t>。</w:t>
      </w:r>
      <w:r>
        <w:rPr>
          <w:rFonts w:ascii="楷体" w:eastAsia="楷体" w:hAnsi="楷体" w:cs="楷体" w:hint="eastAsia"/>
          <w:sz w:val="28"/>
          <w:szCs w:val="28"/>
          <w:lang w:bidi="ar"/>
        </w:rPr>
        <w:t>因此，追责问责和容错免责本身是辩证统一的，需要合理均衡。</w:t>
      </w:r>
    </w:p>
    <w:p w:rsidR="00B365D5" w:rsidRDefault="00B365D5">
      <w:pPr>
        <w:adjustRightInd w:val="0"/>
        <w:snapToGrid w:val="0"/>
        <w:spacing w:line="500" w:lineRule="exact"/>
        <w:ind w:firstLineChars="200" w:firstLine="560"/>
        <w:outlineLvl w:val="0"/>
        <w:rPr>
          <w:rFonts w:ascii="楷体" w:eastAsia="楷体" w:hAnsi="楷体" w:cs="楷体"/>
          <w:sz w:val="28"/>
          <w:szCs w:val="28"/>
          <w:lang w:bidi="ar"/>
        </w:rPr>
      </w:pPr>
    </w:p>
    <w:sectPr w:rsidR="00B365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00D" w:rsidRDefault="0061000D">
      <w:r>
        <w:separator/>
      </w:r>
    </w:p>
  </w:endnote>
  <w:endnote w:type="continuationSeparator" w:id="0">
    <w:p w:rsidR="0061000D" w:rsidRDefault="0061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5D5" w:rsidRDefault="0061000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65D5" w:rsidRDefault="0061000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00D" w:rsidRDefault="0061000D">
      <w:r>
        <w:separator/>
      </w:r>
    </w:p>
  </w:footnote>
  <w:footnote w:type="continuationSeparator" w:id="0">
    <w:p w:rsidR="0061000D" w:rsidRDefault="0061000D">
      <w:r>
        <w:continuationSeparator/>
      </w:r>
    </w:p>
  </w:footnote>
  <w:footnote w:id="1">
    <w:p w:rsidR="00B365D5" w:rsidRDefault="0061000D">
      <w:pPr>
        <w:pStyle w:val="a7"/>
        <w:spacing w:line="360" w:lineRule="exact"/>
        <w:rPr>
          <w:sz w:val="21"/>
          <w:szCs w:val="21"/>
        </w:rPr>
      </w:pPr>
      <w:r>
        <w:rPr>
          <w:rStyle w:val="ad"/>
          <w:sz w:val="21"/>
          <w:szCs w:val="21"/>
          <w:vertAlign w:val="baseline"/>
        </w:rPr>
        <w:t>※</w:t>
      </w:r>
      <w:r>
        <w:rPr>
          <w:rFonts w:hint="eastAsia"/>
          <w:sz w:val="21"/>
          <w:szCs w:val="21"/>
        </w:rPr>
        <w:t>【基金课题】本课题系上海交通大学科技创新专项资金科技发展研究基金课题“突发公共卫生事件中的结构性信息披露的问责体系研究”的阶段性研究成果。</w:t>
      </w:r>
    </w:p>
    <w:p w:rsidR="00B365D5" w:rsidRDefault="0061000D">
      <w:pPr>
        <w:pStyle w:val="a7"/>
        <w:spacing w:line="360" w:lineRule="exact"/>
        <w:rPr>
          <w:sz w:val="21"/>
          <w:szCs w:val="21"/>
        </w:rPr>
      </w:pPr>
      <w:r>
        <w:rPr>
          <w:rFonts w:hint="eastAsia"/>
          <w:sz w:val="21"/>
          <w:szCs w:val="21"/>
        </w:rPr>
        <w:t>【作者简介】彭辉，上海社科院法学所研究员</w:t>
      </w:r>
      <w:r>
        <w:rPr>
          <w:rFonts w:hint="eastAsia"/>
          <w:sz w:val="21"/>
          <w:szCs w:val="21"/>
        </w:rPr>
        <w:t>；杨力，上海交通大学凯原法学院教授。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212"/>
    <w:rsid w:val="00025828"/>
    <w:rsid w:val="001D5BB0"/>
    <w:rsid w:val="004D7293"/>
    <w:rsid w:val="0061000D"/>
    <w:rsid w:val="00797A60"/>
    <w:rsid w:val="008A01E0"/>
    <w:rsid w:val="00A21212"/>
    <w:rsid w:val="00B365D5"/>
    <w:rsid w:val="00CF1EE7"/>
    <w:rsid w:val="00D55350"/>
    <w:rsid w:val="00F26DF1"/>
    <w:rsid w:val="011B41B3"/>
    <w:rsid w:val="01294DF1"/>
    <w:rsid w:val="0175790C"/>
    <w:rsid w:val="01DF470D"/>
    <w:rsid w:val="03465FB2"/>
    <w:rsid w:val="036C218C"/>
    <w:rsid w:val="0593252C"/>
    <w:rsid w:val="05D4594D"/>
    <w:rsid w:val="06685161"/>
    <w:rsid w:val="07023168"/>
    <w:rsid w:val="07333BB3"/>
    <w:rsid w:val="07C23494"/>
    <w:rsid w:val="0879455B"/>
    <w:rsid w:val="087E2024"/>
    <w:rsid w:val="09304AE2"/>
    <w:rsid w:val="0A6B7C81"/>
    <w:rsid w:val="0B3A0424"/>
    <w:rsid w:val="0C0E6215"/>
    <w:rsid w:val="0C6D3FC4"/>
    <w:rsid w:val="0C992D17"/>
    <w:rsid w:val="0D097DF8"/>
    <w:rsid w:val="0DAB5CCF"/>
    <w:rsid w:val="0E822E27"/>
    <w:rsid w:val="0EC5075B"/>
    <w:rsid w:val="100A7588"/>
    <w:rsid w:val="118C561F"/>
    <w:rsid w:val="11B66E58"/>
    <w:rsid w:val="11D04AE1"/>
    <w:rsid w:val="162F2DBD"/>
    <w:rsid w:val="171364CD"/>
    <w:rsid w:val="17364675"/>
    <w:rsid w:val="189548A3"/>
    <w:rsid w:val="18F66268"/>
    <w:rsid w:val="19C15FD1"/>
    <w:rsid w:val="1B2E09A5"/>
    <w:rsid w:val="1BBE6515"/>
    <w:rsid w:val="1BC40F06"/>
    <w:rsid w:val="1C27181E"/>
    <w:rsid w:val="1D603C25"/>
    <w:rsid w:val="1D887643"/>
    <w:rsid w:val="1E9771BD"/>
    <w:rsid w:val="1ED83368"/>
    <w:rsid w:val="1F2E51E6"/>
    <w:rsid w:val="209B5ABA"/>
    <w:rsid w:val="21205749"/>
    <w:rsid w:val="22661D90"/>
    <w:rsid w:val="26F36078"/>
    <w:rsid w:val="28BD75EC"/>
    <w:rsid w:val="2A8E695E"/>
    <w:rsid w:val="2AC82724"/>
    <w:rsid w:val="2DB950AC"/>
    <w:rsid w:val="2DEB3447"/>
    <w:rsid w:val="2E796E8F"/>
    <w:rsid w:val="2EF3249F"/>
    <w:rsid w:val="2FA22D08"/>
    <w:rsid w:val="32F263AE"/>
    <w:rsid w:val="32FE240B"/>
    <w:rsid w:val="348C1FA3"/>
    <w:rsid w:val="368C22CE"/>
    <w:rsid w:val="38A66DCF"/>
    <w:rsid w:val="38EB255F"/>
    <w:rsid w:val="3A7D7D87"/>
    <w:rsid w:val="3AFE7037"/>
    <w:rsid w:val="3BE11027"/>
    <w:rsid w:val="3DDA242A"/>
    <w:rsid w:val="3DFC1447"/>
    <w:rsid w:val="3F4B559F"/>
    <w:rsid w:val="3FA70C0D"/>
    <w:rsid w:val="400F7411"/>
    <w:rsid w:val="406A3E6A"/>
    <w:rsid w:val="40AF167C"/>
    <w:rsid w:val="410F3A9C"/>
    <w:rsid w:val="43F24222"/>
    <w:rsid w:val="440E31B5"/>
    <w:rsid w:val="44140237"/>
    <w:rsid w:val="47C024FA"/>
    <w:rsid w:val="49FA7DBC"/>
    <w:rsid w:val="4A126B32"/>
    <w:rsid w:val="4B3909B6"/>
    <w:rsid w:val="4CCA3E66"/>
    <w:rsid w:val="4CF750B2"/>
    <w:rsid w:val="4D3753CE"/>
    <w:rsid w:val="51EC6864"/>
    <w:rsid w:val="544F2FB8"/>
    <w:rsid w:val="54716823"/>
    <w:rsid w:val="551042CD"/>
    <w:rsid w:val="57611CEE"/>
    <w:rsid w:val="583F7775"/>
    <w:rsid w:val="5A013E3E"/>
    <w:rsid w:val="5BBF16F4"/>
    <w:rsid w:val="5C013967"/>
    <w:rsid w:val="5C841E4B"/>
    <w:rsid w:val="5D821DCC"/>
    <w:rsid w:val="5E545566"/>
    <w:rsid w:val="5EB16C65"/>
    <w:rsid w:val="5FAE5190"/>
    <w:rsid w:val="605562CE"/>
    <w:rsid w:val="617A328B"/>
    <w:rsid w:val="61E40678"/>
    <w:rsid w:val="62A320EC"/>
    <w:rsid w:val="63F95C0A"/>
    <w:rsid w:val="66085EF5"/>
    <w:rsid w:val="661B705B"/>
    <w:rsid w:val="67747EE6"/>
    <w:rsid w:val="67E459BE"/>
    <w:rsid w:val="686414D1"/>
    <w:rsid w:val="68934458"/>
    <w:rsid w:val="68BB4714"/>
    <w:rsid w:val="69444605"/>
    <w:rsid w:val="6A257F04"/>
    <w:rsid w:val="6AA21F4F"/>
    <w:rsid w:val="6BDE7677"/>
    <w:rsid w:val="6D0325EA"/>
    <w:rsid w:val="6D7A39BF"/>
    <w:rsid w:val="6D8F7671"/>
    <w:rsid w:val="6E515676"/>
    <w:rsid w:val="711002B4"/>
    <w:rsid w:val="72D85931"/>
    <w:rsid w:val="730A003C"/>
    <w:rsid w:val="74912811"/>
    <w:rsid w:val="766763E0"/>
    <w:rsid w:val="786E2A4E"/>
    <w:rsid w:val="78ED302F"/>
    <w:rsid w:val="7D6131F3"/>
    <w:rsid w:val="7DD16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27CC49"/>
  <w15:docId w15:val="{F37ADCD4-D96D-E446-97A2-9F41C3B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autoSpaceDN w:val="0"/>
      <w:jc w:val="both"/>
      <w:textAlignment w:val="baseline"/>
    </w:pPr>
    <w:rPr>
      <w:kern w:val="3"/>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semiHidden/>
    <w:unhideWhenUsed/>
    <w:qFormat/>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qFormat/>
    <w:pPr>
      <w:snapToGrid w:val="0"/>
      <w:jc w:val="left"/>
    </w:pPr>
    <w:rPr>
      <w:sz w:val="18"/>
    </w:rPr>
  </w:style>
  <w:style w:type="paragraph" w:styleId="a9">
    <w:name w:val="Normal (Web)"/>
    <w:basedOn w:val="a"/>
    <w:qFormat/>
    <w:pPr>
      <w:spacing w:beforeAutospacing="1" w:afterAutospacing="1"/>
      <w:jc w:val="left"/>
    </w:pPr>
    <w:rPr>
      <w:kern w:val="0"/>
      <w:sz w:val="24"/>
    </w:rPr>
  </w:style>
  <w:style w:type="character" w:styleId="aa">
    <w:name w:val="Strong"/>
    <w:basedOn w:val="a0"/>
    <w:qFormat/>
    <w:rPr>
      <w:b/>
    </w:rPr>
  </w:style>
  <w:style w:type="character" w:styleId="ab">
    <w:name w:val="Emphasis"/>
    <w:basedOn w:val="a0"/>
    <w:qFormat/>
    <w:rPr>
      <w:color w:val="CC0000"/>
    </w:rPr>
  </w:style>
  <w:style w:type="character" w:styleId="ac">
    <w:name w:val="Hyperlink"/>
    <w:basedOn w:val="a0"/>
    <w:qFormat/>
    <w:rPr>
      <w:color w:val="0000FF"/>
      <w:u w:val="single"/>
    </w:rPr>
  </w:style>
  <w:style w:type="character" w:styleId="HTML">
    <w:name w:val="HTML Cite"/>
    <w:basedOn w:val="a0"/>
    <w:qFormat/>
    <w:rPr>
      <w:color w:val="008000"/>
    </w:rPr>
  </w:style>
  <w:style w:type="character" w:styleId="ad">
    <w:name w:val="footnote reference"/>
    <w:basedOn w:val="a0"/>
    <w:qFormat/>
    <w:rPr>
      <w:vertAlign w:val="superscript"/>
    </w:rPr>
  </w:style>
  <w:style w:type="character" w:customStyle="1" w:styleId="c-icon">
    <w:name w:val="c-icon"/>
    <w:basedOn w:val="a0"/>
    <w:qFormat/>
  </w:style>
  <w:style w:type="character" w:customStyle="1" w:styleId="c-icon14">
    <w:name w:val="c-icon14"/>
    <w:basedOn w:val="a0"/>
    <w:qFormat/>
  </w:style>
  <w:style w:type="character" w:customStyle="1" w:styleId="a8">
    <w:name w:val="脚注文本 字符"/>
    <w:basedOn w:val="a0"/>
    <w:link w:val="a7"/>
    <w:qFormat/>
    <w:rPr>
      <w:sz w:val="18"/>
    </w:rPr>
  </w:style>
  <w:style w:type="paragraph" w:customStyle="1" w:styleId="opgdpsubtitle">
    <w:name w:val="op_gdp_subtitle"/>
    <w:basedOn w:val="a"/>
    <w:qFormat/>
    <w:pPr>
      <w:jc w:val="left"/>
    </w:pPr>
    <w:rPr>
      <w:rFonts w:ascii="微软雅黑" w:eastAsia="微软雅黑" w:hAnsi="微软雅黑"/>
      <w:color w:val="333333"/>
      <w:kern w:val="0"/>
      <w:sz w:val="38"/>
      <w:szCs w:val="38"/>
    </w:rPr>
  </w:style>
  <w:style w:type="character" w:customStyle="1" w:styleId="hover13">
    <w:name w:val="hover13"/>
    <w:basedOn w:val="a0"/>
    <w:qFormat/>
    <w:rPr>
      <w:u w:val="single"/>
    </w:rPr>
  </w:style>
  <w:style w:type="character" w:customStyle="1" w:styleId="hover14">
    <w:name w:val="hover14"/>
    <w:basedOn w:val="a0"/>
    <w:qFormat/>
    <w:rPr>
      <w:u w:val="single"/>
    </w:rPr>
  </w:style>
  <w:style w:type="character" w:customStyle="1" w:styleId="opdict3lineoneresulttip">
    <w:name w:val="op_dict3_lineone_result_tip"/>
    <w:basedOn w:val="a0"/>
    <w:qFormat/>
    <w:rPr>
      <w:color w:val="999999"/>
    </w:rPr>
  </w:style>
  <w:style w:type="character" w:customStyle="1" w:styleId="a6">
    <w:name w:val="页眉 字符"/>
    <w:basedOn w:val="a0"/>
    <w:link w:val="a5"/>
    <w:qFormat/>
    <w:rPr>
      <w:kern w:val="3"/>
      <w:sz w:val="18"/>
      <w:szCs w:val="18"/>
    </w:rPr>
  </w:style>
  <w:style w:type="character" w:customStyle="1" w:styleId="a4">
    <w:name w:val="页脚 字符"/>
    <w:basedOn w:val="a0"/>
    <w:link w:val="a3"/>
    <w:qFormat/>
    <w:rPr>
      <w:kern w:val="3"/>
      <w:sz w:val="18"/>
      <w:szCs w:val="18"/>
    </w:rPr>
  </w:style>
  <w:style w:type="character" w:customStyle="1" w:styleId="hover11">
    <w:name w:val="hover11"/>
    <w:basedOn w:val="a0"/>
    <w:qFormat/>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Leyi</cp:lastModifiedBy>
  <cp:revision>6</cp:revision>
  <dcterms:created xsi:type="dcterms:W3CDTF">2014-10-29T12:08:00Z</dcterms:created>
  <dcterms:modified xsi:type="dcterms:W3CDTF">2020-12-30T02:48:00Z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